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04EBD" w14:textId="6AC9BCBA" w:rsidR="00A9730D" w:rsidRPr="00F72244" w:rsidRDefault="0072437D" w:rsidP="00C11432">
      <w:pPr>
        <w:pStyle w:val="Dmainhead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9E5620" wp14:editId="260E88A3">
            <wp:simplePos x="0" y="0"/>
            <wp:positionH relativeFrom="margin">
              <wp:posOffset>203835</wp:posOffset>
            </wp:positionH>
            <wp:positionV relativeFrom="margin">
              <wp:posOffset>-945515</wp:posOffset>
            </wp:positionV>
            <wp:extent cx="2130425" cy="603250"/>
            <wp:effectExtent l="0" t="0" r="3175" b="6350"/>
            <wp:wrapSquare wrapText="bothSides"/>
            <wp:docPr id="22" name="Picture 22" descr="../../../../00%20Program/Logo/CE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00%20Program/Logo/CEP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AC2" w:rsidRPr="00F72244">
        <w:t>The Transfer Playbook:</w:t>
      </w:r>
    </w:p>
    <w:p w14:paraId="2F93BE2B" w14:textId="4356547F" w:rsidR="0053389C" w:rsidRDefault="00A9730D" w:rsidP="00F91F4D">
      <w:pPr>
        <w:ind w:right="270"/>
        <w:jc w:val="center"/>
        <w:rPr>
          <w:rFonts w:ascii="Founders Grotesk Semibold" w:hAnsi="Founders Grotesk Semibold" w:cs="Times New Roman"/>
          <w:b/>
          <w:sz w:val="36"/>
          <w:szCs w:val="36"/>
        </w:rPr>
      </w:pPr>
      <w:r w:rsidRPr="00F72244">
        <w:rPr>
          <w:rFonts w:ascii="Founders Grotesk Semibold" w:hAnsi="Founders Grotesk Semibold" w:cs="Times New Roman"/>
          <w:b/>
          <w:sz w:val="36"/>
          <w:szCs w:val="36"/>
        </w:rPr>
        <w:t xml:space="preserve">Essential </w:t>
      </w:r>
      <w:r w:rsidRPr="00F91F4D">
        <w:rPr>
          <w:rFonts w:ascii="Founders Grotesk Semibold" w:hAnsi="Founders Grotesk Semibold" w:cs="Times New Roman"/>
          <w:b/>
          <w:color w:val="0070C0"/>
          <w:sz w:val="36"/>
          <w:szCs w:val="36"/>
        </w:rPr>
        <w:t xml:space="preserve">Community College </w:t>
      </w:r>
      <w:r w:rsidRPr="00F72244">
        <w:rPr>
          <w:rFonts w:ascii="Founders Grotesk Semibold" w:hAnsi="Founders Grotesk Semibold" w:cs="Times New Roman"/>
          <w:b/>
          <w:sz w:val="36"/>
          <w:szCs w:val="36"/>
        </w:rPr>
        <w:t>Practices</w:t>
      </w:r>
    </w:p>
    <w:p w14:paraId="61F47050" w14:textId="77777777" w:rsidR="00F91F4D" w:rsidRDefault="00F91F4D" w:rsidP="00F91F4D">
      <w:pPr>
        <w:ind w:right="270"/>
        <w:jc w:val="center"/>
        <w:rPr>
          <w:rFonts w:cs="Times New Roman"/>
          <w:b/>
          <w:i/>
        </w:rPr>
      </w:pPr>
    </w:p>
    <w:p w14:paraId="51F34F70" w14:textId="2B43F82B" w:rsidR="0053389C" w:rsidRPr="00926631" w:rsidRDefault="00A9730D" w:rsidP="00C11432">
      <w:pPr>
        <w:pStyle w:val="DHead1"/>
      </w:pPr>
      <w:r w:rsidRPr="009934D8">
        <w:t>1.</w:t>
      </w:r>
      <w:r w:rsidRPr="009934D8">
        <w:tab/>
        <w:t>Prioritize transfer student success</w:t>
      </w:r>
    </w:p>
    <w:p w14:paraId="7E3B5107" w14:textId="7426C16F" w:rsidR="0053389C" w:rsidRPr="00F91F4D" w:rsidRDefault="0053389C" w:rsidP="00C11432">
      <w:pPr>
        <w:pStyle w:val="Dbul1"/>
      </w:pPr>
      <w:r w:rsidRPr="00F91F4D">
        <w:t>Communicate</w:t>
      </w:r>
      <w:r w:rsidR="008222B7" w:rsidRPr="00F91F4D">
        <w:t xml:space="preserve"> transfer as </w:t>
      </w:r>
      <w:r w:rsidR="005075B2" w:rsidRPr="00F91F4D">
        <w:t>a key component</w:t>
      </w:r>
      <w:r w:rsidR="008222B7" w:rsidRPr="00F91F4D">
        <w:t xml:space="preserve"> </w:t>
      </w:r>
      <w:r w:rsidR="005075B2" w:rsidRPr="00F91F4D">
        <w:t>of</w:t>
      </w:r>
      <w:r w:rsidRPr="00F91F4D">
        <w:t xml:space="preserve"> the </w:t>
      </w:r>
      <w:r w:rsidR="009934D8" w:rsidRPr="00F91F4D">
        <w:t>college</w:t>
      </w:r>
      <w:r w:rsidRPr="00F91F4D">
        <w:t>’s mission</w:t>
      </w:r>
      <w:r w:rsidR="0067199A" w:rsidRPr="00F91F4D">
        <w:t>.</w:t>
      </w:r>
    </w:p>
    <w:p w14:paraId="09F9EA62" w14:textId="6CCD6DE5" w:rsidR="00500325" w:rsidRPr="00F91F4D" w:rsidRDefault="00500325" w:rsidP="00C11432">
      <w:pPr>
        <w:pStyle w:val="Dbul1"/>
      </w:pPr>
      <w:r w:rsidRPr="00F91F4D">
        <w:t xml:space="preserve">Make transfer student success a core priority in </w:t>
      </w:r>
      <w:r w:rsidR="009934D8" w:rsidRPr="00F91F4D">
        <w:t xml:space="preserve">the </w:t>
      </w:r>
      <w:r w:rsidRPr="00F91F4D">
        <w:t>college’s strategic documents</w:t>
      </w:r>
      <w:r w:rsidR="0067199A" w:rsidRPr="00F91F4D">
        <w:t>.</w:t>
      </w:r>
    </w:p>
    <w:p w14:paraId="44A07579" w14:textId="2B1270B3" w:rsidR="0053389C" w:rsidRPr="00F91F4D" w:rsidRDefault="0053389C" w:rsidP="00C11432">
      <w:pPr>
        <w:pStyle w:val="Dbul1"/>
      </w:pPr>
      <w:r w:rsidRPr="00F91F4D">
        <w:t xml:space="preserve">Share data </w:t>
      </w:r>
      <w:r w:rsidR="00A4524A" w:rsidRPr="00F91F4D">
        <w:t xml:space="preserve">internally on transfer student outcomes and </w:t>
      </w:r>
      <w:r w:rsidR="009934D8" w:rsidRPr="00F91F4D">
        <w:t xml:space="preserve">on the </w:t>
      </w:r>
      <w:r w:rsidR="00A4524A" w:rsidRPr="00F91F4D">
        <w:t>effectiveness of transfer practices</w:t>
      </w:r>
      <w:r w:rsidR="0067199A" w:rsidRPr="00F91F4D">
        <w:t>.</w:t>
      </w:r>
    </w:p>
    <w:p w14:paraId="5AC78D94" w14:textId="67478234" w:rsidR="0053389C" w:rsidRPr="00F91F4D" w:rsidRDefault="00245F88" w:rsidP="00C11432">
      <w:pPr>
        <w:pStyle w:val="Dbul1"/>
      </w:pPr>
      <w:r w:rsidRPr="00F91F4D">
        <w:t>Invest</w:t>
      </w:r>
      <w:r w:rsidR="0053389C" w:rsidRPr="00F91F4D">
        <w:t xml:space="preserve"> significant resour</w:t>
      </w:r>
      <w:r w:rsidR="008222B7" w:rsidRPr="00F91F4D">
        <w:t>ces to support students seeking to transfer</w:t>
      </w:r>
      <w:r w:rsidR="0067199A" w:rsidRPr="00F91F4D">
        <w:t>.</w:t>
      </w:r>
    </w:p>
    <w:p w14:paraId="13BD5DC0" w14:textId="3D5AEE3E" w:rsidR="00A4524A" w:rsidRPr="00F91F4D" w:rsidRDefault="001E7E35" w:rsidP="00C11432">
      <w:pPr>
        <w:pStyle w:val="Dbul1"/>
      </w:pPr>
      <w:r w:rsidRPr="00F91F4D">
        <w:t>Designate staff and committees with responsibility for improving transfer student outcomes</w:t>
      </w:r>
      <w:r w:rsidR="0067199A" w:rsidRPr="00F91F4D">
        <w:t>.</w:t>
      </w:r>
    </w:p>
    <w:p w14:paraId="348F52D0" w14:textId="6994585E" w:rsidR="0053389C" w:rsidRPr="009934D8" w:rsidRDefault="008B326B" w:rsidP="00C11432">
      <w:pPr>
        <w:pStyle w:val="DHead1"/>
      </w:pPr>
      <w:r w:rsidRPr="00926631">
        <w:t>2.</w:t>
      </w:r>
      <w:r w:rsidRPr="00926631">
        <w:tab/>
      </w:r>
      <w:r w:rsidR="005075B2" w:rsidRPr="00F72244">
        <w:t>Create clear program pathways with aligned high-quality instruction</w:t>
      </w:r>
    </w:p>
    <w:p w14:paraId="7968CC8D" w14:textId="7D210281" w:rsidR="0053389C" w:rsidRDefault="00A4524A" w:rsidP="00C11432">
      <w:pPr>
        <w:pStyle w:val="Dbul1"/>
      </w:pPr>
      <w:r>
        <w:t xml:space="preserve">Collaborate </w:t>
      </w:r>
      <w:r w:rsidR="00392E36">
        <w:t xml:space="preserve">with </w:t>
      </w:r>
      <w:r>
        <w:t xml:space="preserve">partner </w:t>
      </w:r>
      <w:r w:rsidR="009D1985">
        <w:t xml:space="preserve">institutions to </w:t>
      </w:r>
      <w:r w:rsidR="00F61084">
        <w:t xml:space="preserve">create </w:t>
      </w:r>
      <w:r w:rsidR="009D1985">
        <w:t>map</w:t>
      </w:r>
      <w:r w:rsidR="00F61084">
        <w:t>s showing</w:t>
      </w:r>
      <w:r w:rsidR="009D1985">
        <w:t xml:space="preserve"> major-specific </w:t>
      </w:r>
      <w:r w:rsidR="009B4119">
        <w:t xml:space="preserve">bachelor’s program requirements, </w:t>
      </w:r>
      <w:r w:rsidR="00500325">
        <w:t>recommended</w:t>
      </w:r>
      <w:r w:rsidR="00245F88">
        <w:t xml:space="preserve"> lower</w:t>
      </w:r>
      <w:r w:rsidR="00F61084">
        <w:t xml:space="preserve"> </w:t>
      </w:r>
      <w:r w:rsidR="00245F88">
        <w:t xml:space="preserve">division </w:t>
      </w:r>
      <w:r w:rsidR="009D1985">
        <w:t xml:space="preserve">course </w:t>
      </w:r>
      <w:r>
        <w:t>sequen</w:t>
      </w:r>
      <w:r w:rsidR="00392E36">
        <w:t>ces</w:t>
      </w:r>
      <w:r w:rsidR="00F61084">
        <w:t>,</w:t>
      </w:r>
      <w:r w:rsidR="00245F88">
        <w:t xml:space="preserve"> and progress milestones</w:t>
      </w:r>
      <w:r w:rsidR="0067199A">
        <w:t>.</w:t>
      </w:r>
    </w:p>
    <w:p w14:paraId="447C3901" w14:textId="18121C11" w:rsidR="0053389C" w:rsidRDefault="0053389C" w:rsidP="00C11432">
      <w:pPr>
        <w:pStyle w:val="Dbul1"/>
      </w:pPr>
      <w:r w:rsidRPr="0064699E">
        <w:t>Provide rigorous instruction</w:t>
      </w:r>
      <w:r w:rsidR="00A4037D">
        <w:t xml:space="preserve"> and other high-quality learning</w:t>
      </w:r>
      <w:r w:rsidRPr="0064699E">
        <w:t xml:space="preserve"> expe</w:t>
      </w:r>
      <w:r w:rsidR="009D1985">
        <w:t xml:space="preserve">riences </w:t>
      </w:r>
      <w:r w:rsidR="00A4524A">
        <w:t xml:space="preserve">to prepare students </w:t>
      </w:r>
      <w:r w:rsidR="009B4119">
        <w:t>to thrive in upper division coursework in their desired majors</w:t>
      </w:r>
      <w:r w:rsidR="0067199A">
        <w:t>.</w:t>
      </w:r>
      <w:r w:rsidR="009D1985">
        <w:t xml:space="preserve"> </w:t>
      </w:r>
    </w:p>
    <w:p w14:paraId="2C7F6D1C" w14:textId="09CB873B" w:rsidR="00392E36" w:rsidRPr="0064699E" w:rsidRDefault="00392E36" w:rsidP="00C11432">
      <w:pPr>
        <w:pStyle w:val="Dbul1"/>
      </w:pPr>
      <w:r>
        <w:t>Solicit regular</w:t>
      </w:r>
      <w:r w:rsidR="00015317">
        <w:t>,</w:t>
      </w:r>
      <w:r>
        <w:t xml:space="preserve"> honest feedback </w:t>
      </w:r>
      <w:r w:rsidR="009346CE">
        <w:t>on program quality</w:t>
      </w:r>
      <w:r w:rsidR="00015317">
        <w:t xml:space="preserve"> </w:t>
      </w:r>
      <w:r>
        <w:t>from university academic departments</w:t>
      </w:r>
      <w:r w:rsidR="0067199A">
        <w:t>.</w:t>
      </w:r>
    </w:p>
    <w:p w14:paraId="5FD2D8E8" w14:textId="600F87BF" w:rsidR="0053389C" w:rsidRDefault="009B4119" w:rsidP="00C11432">
      <w:pPr>
        <w:pStyle w:val="Dbul1"/>
      </w:pPr>
      <w:r>
        <w:t>Design alternative</w:t>
      </w:r>
      <w:r w:rsidR="0053389C" w:rsidRPr="0064699E">
        <w:t xml:space="preserve"> </w:t>
      </w:r>
      <w:r w:rsidR="009D1985">
        <w:t>transfer pathways as needed to facilitate degree completion</w:t>
      </w:r>
      <w:r>
        <w:t xml:space="preserve"> in specific fields</w:t>
      </w:r>
      <w:r w:rsidR="0067199A">
        <w:t>.</w:t>
      </w:r>
    </w:p>
    <w:p w14:paraId="36D81AEB" w14:textId="0B198AB5" w:rsidR="0053389C" w:rsidRPr="00926631" w:rsidRDefault="008B326B" w:rsidP="00C11432">
      <w:pPr>
        <w:pStyle w:val="DHead1"/>
      </w:pPr>
      <w:r w:rsidRPr="00926631">
        <w:t>3.</w:t>
      </w:r>
      <w:r w:rsidRPr="00926631">
        <w:tab/>
      </w:r>
      <w:r w:rsidR="005075B2" w:rsidRPr="00926631">
        <w:t>Provide tailored transfer student advising</w:t>
      </w:r>
    </w:p>
    <w:p w14:paraId="59F703AC" w14:textId="4ED795C2" w:rsidR="000652C3" w:rsidRDefault="00A4524A" w:rsidP="00C11432">
      <w:pPr>
        <w:pStyle w:val="Dbul1"/>
      </w:pPr>
      <w:r>
        <w:t>Des</w:t>
      </w:r>
      <w:r w:rsidR="002D684F">
        <w:t>ign website with accurate, easy-to-access information for students seeking to transfer</w:t>
      </w:r>
      <w:r w:rsidR="0067199A">
        <w:t>.</w:t>
      </w:r>
    </w:p>
    <w:p w14:paraId="1B8E4738" w14:textId="3F99187B" w:rsidR="0053389C" w:rsidRPr="00297495" w:rsidRDefault="009D1985" w:rsidP="00C11432">
      <w:pPr>
        <w:pStyle w:val="Dbul1"/>
      </w:pPr>
      <w:r>
        <w:t>Help students explore career/transfer options</w:t>
      </w:r>
      <w:r w:rsidR="002D684F">
        <w:t>, choose</w:t>
      </w:r>
      <w:r w:rsidR="00A4037D">
        <w:t xml:space="preserve"> a</w:t>
      </w:r>
      <w:r w:rsidR="007C2677">
        <w:t xml:space="preserve"> </w:t>
      </w:r>
      <w:r w:rsidR="0053389C" w:rsidRPr="0064699E">
        <w:t>major</w:t>
      </w:r>
      <w:r w:rsidR="007C2677">
        <w:t xml:space="preserve"> field</w:t>
      </w:r>
      <w:r w:rsidR="0053389C" w:rsidRPr="0064699E">
        <w:t xml:space="preserve"> and preferred transfer destination</w:t>
      </w:r>
      <w:r w:rsidR="00D537FC">
        <w:t>(s)</w:t>
      </w:r>
      <w:r w:rsidR="002D684F">
        <w:t>, and develop a full-program plan</w:t>
      </w:r>
      <w:r w:rsidR="00392E36">
        <w:t xml:space="preserve"> as soon as possible</w:t>
      </w:r>
      <w:r w:rsidR="0067199A">
        <w:t>.</w:t>
      </w:r>
    </w:p>
    <w:p w14:paraId="3C4EEF2F" w14:textId="2E1FDF42" w:rsidR="0053389C" w:rsidRPr="0064699E" w:rsidRDefault="0053389C" w:rsidP="00C11432">
      <w:pPr>
        <w:pStyle w:val="Dbul1"/>
      </w:pPr>
      <w:r w:rsidRPr="0064699E">
        <w:t>Continuously monitor student progress, provide frequent feedback</w:t>
      </w:r>
      <w:r w:rsidR="00F61084">
        <w:t>,</w:t>
      </w:r>
      <w:r w:rsidRPr="0064699E">
        <w:t xml:space="preserve"> and intervene qui</w:t>
      </w:r>
      <w:r w:rsidR="00F139D6">
        <w:t xml:space="preserve">ckly when students </w:t>
      </w:r>
      <w:r w:rsidR="00C55E23">
        <w:t xml:space="preserve">are at risk of </w:t>
      </w:r>
      <w:r w:rsidR="00F139D6">
        <w:t>fall</w:t>
      </w:r>
      <w:r w:rsidR="00C55E23">
        <w:t>ing</w:t>
      </w:r>
      <w:r w:rsidR="00E02C45">
        <w:t xml:space="preserve"> off </w:t>
      </w:r>
      <w:r w:rsidR="002D684F">
        <w:t>plan</w:t>
      </w:r>
      <w:r w:rsidR="0067199A">
        <w:t>.</w:t>
      </w:r>
    </w:p>
    <w:p w14:paraId="3B3AAE9F" w14:textId="7A6E9EC2" w:rsidR="0053389C" w:rsidRPr="0064699E" w:rsidRDefault="002D684F" w:rsidP="00C11432">
      <w:pPr>
        <w:pStyle w:val="Dbul1"/>
        <w:rPr>
          <w:i/>
        </w:rPr>
      </w:pPr>
      <w:r>
        <w:t xml:space="preserve">Help students plan to finance their </w:t>
      </w:r>
      <w:r w:rsidRPr="002D684F">
        <w:rPr>
          <w:i/>
        </w:rPr>
        <w:t>entire</w:t>
      </w:r>
      <w:r>
        <w:t xml:space="preserve"> undergraduate education</w:t>
      </w:r>
      <w:r w:rsidR="00C55E23">
        <w:t xml:space="preserve"> (not just the community college piece)</w:t>
      </w:r>
      <w:r w:rsidR="0067199A">
        <w:t>.</w:t>
      </w:r>
    </w:p>
    <w:p w14:paraId="35CA2556" w14:textId="4AEBF6CB" w:rsidR="00A4524A" w:rsidRDefault="0017786F" w:rsidP="00C11432">
      <w:pPr>
        <w:pStyle w:val="DHead1"/>
      </w:pPr>
      <w:r>
        <w:t>+ Strategies for b</w:t>
      </w:r>
      <w:r w:rsidR="005075B2">
        <w:t>uild</w:t>
      </w:r>
      <w:r>
        <w:t>ing</w:t>
      </w:r>
      <w:r w:rsidR="005075B2">
        <w:t xml:space="preserve"> strong transfer partnerships</w:t>
      </w:r>
      <w:r w:rsidR="00E85929">
        <w:t>:</w:t>
      </w:r>
    </w:p>
    <w:p w14:paraId="3856301E" w14:textId="6C9826D2" w:rsidR="00A4524A" w:rsidRDefault="00F038B2" w:rsidP="00C11432">
      <w:pPr>
        <w:pStyle w:val="Dbul1"/>
      </w:pPr>
      <w:r>
        <w:t xml:space="preserve">Build trusting relationships </w:t>
      </w:r>
      <w:r w:rsidR="00F61084">
        <w:t xml:space="preserve">with partners </w:t>
      </w:r>
      <w:r>
        <w:t>and c</w:t>
      </w:r>
      <w:r w:rsidR="001E7E35">
        <w:t>ommunicate frequently</w:t>
      </w:r>
      <w:r w:rsidR="00015317">
        <w:t xml:space="preserve"> at all levels</w:t>
      </w:r>
      <w:r w:rsidR="00F104EB">
        <w:t>.</w:t>
      </w:r>
    </w:p>
    <w:p w14:paraId="1208C420" w14:textId="1E70DC8D" w:rsidR="00F139D6" w:rsidRDefault="00F038B2" w:rsidP="00C11432">
      <w:pPr>
        <w:pStyle w:val="Dbul1"/>
      </w:pPr>
      <w:r>
        <w:t xml:space="preserve">Share data on transfer student </w:t>
      </w:r>
      <w:r w:rsidR="00015317">
        <w:t>experience</w:t>
      </w:r>
      <w:r w:rsidR="00147960">
        <w:t>s</w:t>
      </w:r>
      <w:r w:rsidR="00015317">
        <w:t xml:space="preserve"> and outcomes</w:t>
      </w:r>
      <w:r w:rsidR="00F104EB">
        <w:t>.</w:t>
      </w:r>
    </w:p>
    <w:p w14:paraId="4A4D4FBA" w14:textId="3E936144" w:rsidR="00E828F2" w:rsidRDefault="00E828F2" w:rsidP="00C11432">
      <w:pPr>
        <w:pStyle w:val="Dbul1"/>
      </w:pPr>
      <w:r>
        <w:t>Jointly invest in shared support services and strategic initiatives to benefit transfer students</w:t>
      </w:r>
      <w:r w:rsidR="00F104EB">
        <w:t>.</w:t>
      </w:r>
    </w:p>
    <w:p w14:paraId="03C26E55" w14:textId="6B070B4E" w:rsidR="000652C3" w:rsidRDefault="00C55E23" w:rsidP="00C11432">
      <w:pPr>
        <w:pStyle w:val="Dbul1"/>
      </w:pPr>
      <w:r>
        <w:t>Collaborate on i</w:t>
      </w:r>
      <w:r w:rsidR="0011195C">
        <w:t>mproving instruction</w:t>
      </w:r>
      <w:r>
        <w:t xml:space="preserve"> and support services for transfer students</w:t>
      </w:r>
      <w:r w:rsidR="00F104EB">
        <w:t>.</w:t>
      </w:r>
    </w:p>
    <w:p w14:paraId="1DE41514" w14:textId="45129716" w:rsidR="009934D8" w:rsidRDefault="000652C3" w:rsidP="00C11432">
      <w:pPr>
        <w:pStyle w:val="Dbul1"/>
      </w:pPr>
      <w:r>
        <w:t>Designa</w:t>
      </w:r>
      <w:r w:rsidR="00F91F4D">
        <w:t>te “transfer champions”</w:t>
      </w:r>
      <w:r>
        <w:t xml:space="preserve"> as liaisons to transfer partners</w:t>
      </w:r>
      <w:r w:rsidR="00F104EB">
        <w:t>.</w:t>
      </w:r>
    </w:p>
    <w:p w14:paraId="7CBEEF77" w14:textId="77777777" w:rsidR="00824F18" w:rsidRDefault="00824F18" w:rsidP="00C11432">
      <w:pPr>
        <w:pStyle w:val="Dbul1"/>
        <w:numPr>
          <w:ilvl w:val="0"/>
          <w:numId w:val="0"/>
        </w:numPr>
        <w:ind w:left="720"/>
      </w:pPr>
    </w:p>
    <w:p w14:paraId="0FDBC7BB" w14:textId="2E33E638" w:rsidR="00926631" w:rsidRDefault="00926631" w:rsidP="003E471A">
      <w:pPr>
        <w:rPr>
          <w:rFonts w:ascii="DTL Documenta TOT" w:hAnsi="DTL Documenta TOT"/>
          <w:sz w:val="22"/>
          <w:szCs w:val="22"/>
        </w:rPr>
      </w:pPr>
      <w:r>
        <w:rPr>
          <w:sz w:val="18"/>
          <w:szCs w:val="18"/>
        </w:rPr>
        <w:t>_____________________________</w:t>
      </w:r>
      <w:r w:rsidR="006F2A25">
        <w:rPr>
          <w:sz w:val="18"/>
          <w:szCs w:val="18"/>
        </w:rPr>
        <w:t>_______</w:t>
      </w:r>
    </w:p>
    <w:p w14:paraId="26522021" w14:textId="77777777" w:rsidR="00926631" w:rsidRPr="00F72244" w:rsidRDefault="00926631" w:rsidP="003E471A">
      <w:pPr>
        <w:jc w:val="center"/>
        <w:rPr>
          <w:sz w:val="8"/>
          <w:szCs w:val="8"/>
        </w:rPr>
      </w:pPr>
    </w:p>
    <w:p w14:paraId="3879AAEB" w14:textId="3F39B3D6" w:rsidR="001742A1" w:rsidRPr="0004326E" w:rsidRDefault="00824F18" w:rsidP="00431FF2">
      <w:pPr>
        <w:pStyle w:val="NoSpacing"/>
        <w:rPr>
          <w:rFonts w:ascii="Founders Grotesk Semibold" w:hAnsi="Founders Grotesk Semibold" w:cs="Times New Roman"/>
          <w:b/>
          <w:sz w:val="36"/>
          <w:szCs w:val="36"/>
        </w:rPr>
      </w:pPr>
      <w:r w:rsidRPr="00824F18">
        <w:rPr>
          <w:sz w:val="20"/>
          <w:szCs w:val="20"/>
        </w:rPr>
        <w:t xml:space="preserve">These practices are based on </w:t>
      </w:r>
      <w:r w:rsidRPr="00824F18">
        <w:rPr>
          <w:i/>
          <w:sz w:val="20"/>
          <w:szCs w:val="20"/>
        </w:rPr>
        <w:t>The Transfer Playbook: Essential Practices for Two- and Four-Year Colleges</w:t>
      </w:r>
      <w:r w:rsidRPr="00824F18">
        <w:rPr>
          <w:sz w:val="20"/>
          <w:szCs w:val="20"/>
        </w:rPr>
        <w:t xml:space="preserve"> by Joshua Wyner and KC Deane, Aspen Institute College Excellence Program, and Davis Jenkins and John Fink, Community College Research Center (May 2016: </w:t>
      </w:r>
      <w:hyperlink r:id="rId9" w:history="1">
        <w:r w:rsidRPr="00824F18">
          <w:rPr>
            <w:rStyle w:val="Hyperlink"/>
            <w:sz w:val="20"/>
            <w:szCs w:val="20"/>
          </w:rPr>
          <w:t>http://www.aspeninstitute.org/publications/transfer-playbook</w:t>
        </w:r>
      </w:hyperlink>
      <w:r w:rsidRPr="00824F18">
        <w:rPr>
          <w:sz w:val="20"/>
          <w:szCs w:val="20"/>
        </w:rPr>
        <w:t>).</w:t>
      </w:r>
    </w:p>
    <w:sectPr w:rsidR="001742A1" w:rsidRPr="0004326E" w:rsidSect="00824F18">
      <w:headerReference w:type="default" r:id="rId10"/>
      <w:footerReference w:type="even" r:id="rId11"/>
      <w:footerReference w:type="default" r:id="rId12"/>
      <w:pgSz w:w="12240" w:h="15840"/>
      <w:pgMar w:top="1440" w:right="990" w:bottom="990" w:left="1080" w:header="720" w:footer="5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6AE27" w14:textId="77777777" w:rsidR="00D102E8" w:rsidRDefault="00D102E8" w:rsidP="0041311E">
      <w:r>
        <w:separator/>
      </w:r>
    </w:p>
    <w:p w14:paraId="6983E11D" w14:textId="77777777" w:rsidR="00D102E8" w:rsidRDefault="00D102E8"/>
  </w:endnote>
  <w:endnote w:type="continuationSeparator" w:id="0">
    <w:p w14:paraId="12DF2282" w14:textId="77777777" w:rsidR="00D102E8" w:rsidRDefault="00D102E8" w:rsidP="0041311E">
      <w:r>
        <w:continuationSeparator/>
      </w:r>
    </w:p>
    <w:p w14:paraId="153B80FD" w14:textId="77777777" w:rsidR="00D102E8" w:rsidRDefault="00D10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ounders Grotesk Semi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DTL Documenta T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294B6" w14:textId="77777777" w:rsidR="00BE35F0" w:rsidRDefault="00BE35F0" w:rsidP="00F7224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B92EE" w14:textId="77777777" w:rsidR="00BE35F0" w:rsidRDefault="00BE35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639F7" w14:textId="7A2C4098" w:rsidR="006F2A25" w:rsidRDefault="006F2A25" w:rsidP="00F722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A6229" w14:textId="77777777" w:rsidR="00D102E8" w:rsidRDefault="00D102E8" w:rsidP="0041311E">
      <w:r>
        <w:separator/>
      </w:r>
    </w:p>
    <w:p w14:paraId="67B49CC8" w14:textId="77777777" w:rsidR="00D102E8" w:rsidRDefault="00D102E8"/>
  </w:footnote>
  <w:footnote w:type="continuationSeparator" w:id="0">
    <w:p w14:paraId="7DF412DF" w14:textId="77777777" w:rsidR="00D102E8" w:rsidRDefault="00D102E8" w:rsidP="0041311E">
      <w:r>
        <w:continuationSeparator/>
      </w:r>
    </w:p>
    <w:p w14:paraId="1784FEA8" w14:textId="77777777" w:rsidR="00D102E8" w:rsidRDefault="00D102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84" w:type="dxa"/>
      <w:tblBorders>
        <w:top w:val="none" w:sz="0" w:space="0" w:color="auto"/>
        <w:left w:val="none" w:sz="0" w:space="0" w:color="auto"/>
        <w:bottom w:val="single" w:sz="18" w:space="0" w:color="44546A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92"/>
      <w:gridCol w:w="4892"/>
    </w:tblGrid>
    <w:tr w:rsidR="0072670A" w14:paraId="76BA5FB1" w14:textId="77777777" w:rsidTr="00F72244">
      <w:trPr>
        <w:trHeight w:val="294"/>
      </w:trPr>
      <w:tc>
        <w:tcPr>
          <w:tcW w:w="10184" w:type="dxa"/>
          <w:gridSpan w:val="2"/>
          <w:vAlign w:val="bottom"/>
        </w:tcPr>
        <w:p w14:paraId="5924E036" w14:textId="304AAEAC" w:rsidR="0072670A" w:rsidRPr="0080334A" w:rsidRDefault="0072670A" w:rsidP="00F72244">
          <w:pPr>
            <w:pStyle w:val="Header"/>
            <w:rPr>
              <w:b/>
              <w:noProof/>
              <w:color w:val="FF0000"/>
              <w:sz w:val="24"/>
              <w:szCs w:val="24"/>
            </w:rPr>
          </w:pPr>
        </w:p>
      </w:tc>
    </w:tr>
    <w:tr w:rsidR="0072670A" w14:paraId="10266B10" w14:textId="77777777" w:rsidTr="00F72244">
      <w:trPr>
        <w:trHeight w:val="1359"/>
      </w:trPr>
      <w:tc>
        <w:tcPr>
          <w:tcW w:w="5292" w:type="dxa"/>
          <w:vAlign w:val="bottom"/>
        </w:tcPr>
        <w:p w14:paraId="1366CC64" w14:textId="6DBF6814" w:rsidR="0072670A" w:rsidRDefault="0072670A" w:rsidP="00F72244">
          <w:pPr>
            <w:pStyle w:val="Header"/>
            <w:ind w:right="252"/>
            <w:rPr>
              <w:sz w:val="24"/>
              <w:szCs w:val="24"/>
            </w:rPr>
          </w:pPr>
        </w:p>
      </w:tc>
      <w:tc>
        <w:tcPr>
          <w:tcW w:w="4892" w:type="dxa"/>
        </w:tcPr>
        <w:p w14:paraId="66A2D731" w14:textId="6C3E4554" w:rsidR="0072670A" w:rsidRDefault="0072437D" w:rsidP="0072670A">
          <w:pPr>
            <w:pStyle w:val="Header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 wp14:anchorId="08C963E2" wp14:editId="7C21FC4F">
                <wp:simplePos x="0" y="0"/>
                <wp:positionH relativeFrom="column">
                  <wp:posOffset>272415</wp:posOffset>
                </wp:positionH>
                <wp:positionV relativeFrom="paragraph">
                  <wp:posOffset>11634</wp:posOffset>
                </wp:positionV>
                <wp:extent cx="2597150" cy="716280"/>
                <wp:effectExtent l="0" t="0" r="0" b="7620"/>
                <wp:wrapNone/>
                <wp:docPr id="7" name="Picture 7" descr="H:\ADMIN\PowerPoint,Letterhead,Logos\CCRC Logo and Stationery\CCRC Logos\JPG large (with TC underneath)\CCRC_logo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:\ADMIN\PowerPoint,Letterhead,Logos\CCRC Logo and Stationery\CCRC Logos\JPG large (with TC underneath)\CCRC_logo_Color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8333"/>
                        <a:stretch/>
                      </pic:blipFill>
                      <pic:spPr bwMode="auto">
                        <a:xfrm>
                          <a:off x="0" y="0"/>
                          <a:ext cx="259715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CE60CBF" w14:textId="77777777" w:rsidR="0041311E" w:rsidRPr="0041311E" w:rsidRDefault="0041311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A71"/>
    <w:multiLevelType w:val="hybridMultilevel"/>
    <w:tmpl w:val="EBB4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1ED1"/>
    <w:multiLevelType w:val="hybridMultilevel"/>
    <w:tmpl w:val="35E04F68"/>
    <w:lvl w:ilvl="0" w:tplc="AB06B2D4">
      <w:start w:val="1"/>
      <w:numFmt w:val="bullet"/>
      <w:pStyle w:val="Dbul1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91BCA"/>
    <w:multiLevelType w:val="hybridMultilevel"/>
    <w:tmpl w:val="78F6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02468"/>
    <w:multiLevelType w:val="hybridMultilevel"/>
    <w:tmpl w:val="C3CE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D7938"/>
    <w:multiLevelType w:val="hybridMultilevel"/>
    <w:tmpl w:val="42DED284"/>
    <w:lvl w:ilvl="0" w:tplc="BEC4FF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B6980"/>
    <w:multiLevelType w:val="hybridMultilevel"/>
    <w:tmpl w:val="1CC0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543A4"/>
    <w:multiLevelType w:val="hybridMultilevel"/>
    <w:tmpl w:val="4572B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D21E8"/>
    <w:multiLevelType w:val="hybridMultilevel"/>
    <w:tmpl w:val="E7203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DD729B8"/>
    <w:multiLevelType w:val="hybridMultilevel"/>
    <w:tmpl w:val="D7C40DE8"/>
    <w:lvl w:ilvl="0" w:tplc="2C8EB48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52AD9"/>
    <w:multiLevelType w:val="hybridMultilevel"/>
    <w:tmpl w:val="0C6CD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36D3F"/>
    <w:multiLevelType w:val="hybridMultilevel"/>
    <w:tmpl w:val="B9C0B50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16CC515D"/>
    <w:multiLevelType w:val="hybridMultilevel"/>
    <w:tmpl w:val="877AC714"/>
    <w:lvl w:ilvl="0" w:tplc="51B4F65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2B3E07"/>
    <w:multiLevelType w:val="hybridMultilevel"/>
    <w:tmpl w:val="7FA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22B6D"/>
    <w:multiLevelType w:val="hybridMultilevel"/>
    <w:tmpl w:val="67DC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656B9"/>
    <w:multiLevelType w:val="hybridMultilevel"/>
    <w:tmpl w:val="5DDAE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C3AC9"/>
    <w:multiLevelType w:val="hybridMultilevel"/>
    <w:tmpl w:val="C602F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6638B"/>
    <w:multiLevelType w:val="hybridMultilevel"/>
    <w:tmpl w:val="14789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30385"/>
    <w:multiLevelType w:val="hybridMultilevel"/>
    <w:tmpl w:val="4F32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7603E"/>
    <w:multiLevelType w:val="hybridMultilevel"/>
    <w:tmpl w:val="C93467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B52DE"/>
    <w:multiLevelType w:val="hybridMultilevel"/>
    <w:tmpl w:val="C1AE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F1A8C"/>
    <w:multiLevelType w:val="hybridMultilevel"/>
    <w:tmpl w:val="3E6AE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26799A"/>
    <w:multiLevelType w:val="hybridMultilevel"/>
    <w:tmpl w:val="D87E0A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22F10"/>
    <w:multiLevelType w:val="hybridMultilevel"/>
    <w:tmpl w:val="8762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C527A"/>
    <w:multiLevelType w:val="hybridMultilevel"/>
    <w:tmpl w:val="D712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2595B"/>
    <w:multiLevelType w:val="hybridMultilevel"/>
    <w:tmpl w:val="7D0CC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F30AC"/>
    <w:multiLevelType w:val="hybridMultilevel"/>
    <w:tmpl w:val="FD0C6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A2588E"/>
    <w:multiLevelType w:val="hybridMultilevel"/>
    <w:tmpl w:val="01BA8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83C23"/>
    <w:multiLevelType w:val="hybridMultilevel"/>
    <w:tmpl w:val="AB0A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0F6C4F"/>
    <w:multiLevelType w:val="hybridMultilevel"/>
    <w:tmpl w:val="D506E3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C4362"/>
    <w:multiLevelType w:val="hybridMultilevel"/>
    <w:tmpl w:val="7FA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6435A"/>
    <w:multiLevelType w:val="hybridMultilevel"/>
    <w:tmpl w:val="3B3CE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150E4"/>
    <w:multiLevelType w:val="hybridMultilevel"/>
    <w:tmpl w:val="020CE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20839"/>
    <w:multiLevelType w:val="hybridMultilevel"/>
    <w:tmpl w:val="3DE0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3213D"/>
    <w:multiLevelType w:val="hybridMultilevel"/>
    <w:tmpl w:val="FD0C6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681847"/>
    <w:multiLevelType w:val="hybridMultilevel"/>
    <w:tmpl w:val="1C8A4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944BB"/>
    <w:multiLevelType w:val="hybridMultilevel"/>
    <w:tmpl w:val="83942A8A"/>
    <w:lvl w:ilvl="0" w:tplc="AFF27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133379"/>
    <w:multiLevelType w:val="hybridMultilevel"/>
    <w:tmpl w:val="EBB4D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725CE"/>
    <w:multiLevelType w:val="hybridMultilevel"/>
    <w:tmpl w:val="F664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D2A3B"/>
    <w:multiLevelType w:val="hybridMultilevel"/>
    <w:tmpl w:val="7FA21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60354"/>
    <w:multiLevelType w:val="hybridMultilevel"/>
    <w:tmpl w:val="3DE03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762CE"/>
    <w:multiLevelType w:val="hybridMultilevel"/>
    <w:tmpl w:val="A96AC746"/>
    <w:lvl w:ilvl="0" w:tplc="42B8E6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3B6E28"/>
    <w:multiLevelType w:val="hybridMultilevel"/>
    <w:tmpl w:val="A7E4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045AC"/>
    <w:multiLevelType w:val="hybridMultilevel"/>
    <w:tmpl w:val="F48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22414"/>
    <w:multiLevelType w:val="hybridMultilevel"/>
    <w:tmpl w:val="FEC46988"/>
    <w:lvl w:ilvl="0" w:tplc="15CCB4BC">
      <w:start w:val="1"/>
      <w:numFmt w:val="bullet"/>
      <w:pStyle w:val="Specialinternal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196152"/>
    <w:multiLevelType w:val="hybridMultilevel"/>
    <w:tmpl w:val="A382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45067"/>
    <w:multiLevelType w:val="hybridMultilevel"/>
    <w:tmpl w:val="C9FA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74D45"/>
    <w:multiLevelType w:val="hybridMultilevel"/>
    <w:tmpl w:val="3E105D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3"/>
  </w:num>
  <w:num w:numId="5">
    <w:abstractNumId w:val="41"/>
  </w:num>
  <w:num w:numId="6">
    <w:abstractNumId w:val="37"/>
  </w:num>
  <w:num w:numId="7">
    <w:abstractNumId w:val="31"/>
  </w:num>
  <w:num w:numId="8">
    <w:abstractNumId w:val="22"/>
  </w:num>
  <w:num w:numId="9">
    <w:abstractNumId w:val="6"/>
  </w:num>
  <w:num w:numId="10">
    <w:abstractNumId w:val="15"/>
  </w:num>
  <w:num w:numId="11">
    <w:abstractNumId w:val="39"/>
  </w:num>
  <w:num w:numId="12">
    <w:abstractNumId w:val="32"/>
  </w:num>
  <w:num w:numId="13">
    <w:abstractNumId w:val="25"/>
  </w:num>
  <w:num w:numId="14">
    <w:abstractNumId w:val="33"/>
  </w:num>
  <w:num w:numId="15">
    <w:abstractNumId w:val="36"/>
  </w:num>
  <w:num w:numId="16">
    <w:abstractNumId w:val="0"/>
  </w:num>
  <w:num w:numId="17">
    <w:abstractNumId w:val="24"/>
  </w:num>
  <w:num w:numId="18">
    <w:abstractNumId w:val="16"/>
  </w:num>
  <w:num w:numId="19">
    <w:abstractNumId w:val="3"/>
  </w:num>
  <w:num w:numId="20">
    <w:abstractNumId w:val="44"/>
  </w:num>
  <w:num w:numId="21">
    <w:abstractNumId w:val="20"/>
  </w:num>
  <w:num w:numId="22">
    <w:abstractNumId w:val="12"/>
  </w:num>
  <w:num w:numId="23">
    <w:abstractNumId w:val="17"/>
  </w:num>
  <w:num w:numId="24">
    <w:abstractNumId w:val="35"/>
  </w:num>
  <w:num w:numId="25">
    <w:abstractNumId w:val="34"/>
  </w:num>
  <w:num w:numId="26">
    <w:abstractNumId w:val="45"/>
  </w:num>
  <w:num w:numId="27">
    <w:abstractNumId w:val="42"/>
  </w:num>
  <w:num w:numId="28">
    <w:abstractNumId w:val="26"/>
  </w:num>
  <w:num w:numId="29">
    <w:abstractNumId w:val="5"/>
  </w:num>
  <w:num w:numId="30">
    <w:abstractNumId w:val="27"/>
  </w:num>
  <w:num w:numId="31">
    <w:abstractNumId w:val="14"/>
  </w:num>
  <w:num w:numId="32">
    <w:abstractNumId w:val="38"/>
  </w:num>
  <w:num w:numId="33">
    <w:abstractNumId w:val="29"/>
  </w:num>
  <w:num w:numId="34">
    <w:abstractNumId w:val="11"/>
  </w:num>
  <w:num w:numId="35">
    <w:abstractNumId w:val="7"/>
  </w:num>
  <w:num w:numId="36">
    <w:abstractNumId w:val="46"/>
  </w:num>
  <w:num w:numId="37">
    <w:abstractNumId w:val="30"/>
  </w:num>
  <w:num w:numId="38">
    <w:abstractNumId w:val="21"/>
  </w:num>
  <w:num w:numId="39">
    <w:abstractNumId w:val="28"/>
  </w:num>
  <w:num w:numId="40">
    <w:abstractNumId w:val="9"/>
  </w:num>
  <w:num w:numId="41">
    <w:abstractNumId w:val="23"/>
  </w:num>
  <w:num w:numId="42">
    <w:abstractNumId w:val="18"/>
  </w:num>
  <w:num w:numId="43">
    <w:abstractNumId w:val="4"/>
  </w:num>
  <w:num w:numId="44">
    <w:abstractNumId w:val="40"/>
  </w:num>
  <w:num w:numId="45">
    <w:abstractNumId w:val="43"/>
  </w:num>
  <w:num w:numId="46">
    <w:abstractNumId w:val="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1E"/>
    <w:rsid w:val="00007135"/>
    <w:rsid w:val="00015317"/>
    <w:rsid w:val="00016A62"/>
    <w:rsid w:val="000374D6"/>
    <w:rsid w:val="0004326E"/>
    <w:rsid w:val="00052573"/>
    <w:rsid w:val="000652C3"/>
    <w:rsid w:val="00072856"/>
    <w:rsid w:val="000D1AB4"/>
    <w:rsid w:val="0011195C"/>
    <w:rsid w:val="001152E6"/>
    <w:rsid w:val="00125FC1"/>
    <w:rsid w:val="00130F7D"/>
    <w:rsid w:val="0013605B"/>
    <w:rsid w:val="00147960"/>
    <w:rsid w:val="001567FE"/>
    <w:rsid w:val="00163F5C"/>
    <w:rsid w:val="001742A1"/>
    <w:rsid w:val="0017786F"/>
    <w:rsid w:val="00180475"/>
    <w:rsid w:val="00187001"/>
    <w:rsid w:val="001D2A3D"/>
    <w:rsid w:val="001D421B"/>
    <w:rsid w:val="001E059F"/>
    <w:rsid w:val="001E0898"/>
    <w:rsid w:val="001E7E35"/>
    <w:rsid w:val="002400DC"/>
    <w:rsid w:val="00240621"/>
    <w:rsid w:val="00245F88"/>
    <w:rsid w:val="00273A79"/>
    <w:rsid w:val="0028171C"/>
    <w:rsid w:val="002947F2"/>
    <w:rsid w:val="002955B7"/>
    <w:rsid w:val="002D684F"/>
    <w:rsid w:val="0030083B"/>
    <w:rsid w:val="00336EDB"/>
    <w:rsid w:val="00345FEC"/>
    <w:rsid w:val="00366F10"/>
    <w:rsid w:val="003672AB"/>
    <w:rsid w:val="00392E36"/>
    <w:rsid w:val="003D20CB"/>
    <w:rsid w:val="003D5A69"/>
    <w:rsid w:val="003E471A"/>
    <w:rsid w:val="004020B4"/>
    <w:rsid w:val="0041311E"/>
    <w:rsid w:val="00431FF2"/>
    <w:rsid w:val="00437E54"/>
    <w:rsid w:val="004A4AC2"/>
    <w:rsid w:val="004E1B15"/>
    <w:rsid w:val="004E1BBE"/>
    <w:rsid w:val="004E716B"/>
    <w:rsid w:val="00500325"/>
    <w:rsid w:val="005075B2"/>
    <w:rsid w:val="00524E66"/>
    <w:rsid w:val="005303E3"/>
    <w:rsid w:val="0053389C"/>
    <w:rsid w:val="005372DB"/>
    <w:rsid w:val="005515BB"/>
    <w:rsid w:val="0056311B"/>
    <w:rsid w:val="00575AA9"/>
    <w:rsid w:val="005816A6"/>
    <w:rsid w:val="00590745"/>
    <w:rsid w:val="00590E4B"/>
    <w:rsid w:val="00592FAE"/>
    <w:rsid w:val="005B1455"/>
    <w:rsid w:val="00610980"/>
    <w:rsid w:val="00632CAB"/>
    <w:rsid w:val="00643228"/>
    <w:rsid w:val="0066751B"/>
    <w:rsid w:val="0066785C"/>
    <w:rsid w:val="0067199A"/>
    <w:rsid w:val="0068170C"/>
    <w:rsid w:val="00684915"/>
    <w:rsid w:val="00696427"/>
    <w:rsid w:val="006B6E8A"/>
    <w:rsid w:val="006C251E"/>
    <w:rsid w:val="006D0DA6"/>
    <w:rsid w:val="006D4E6F"/>
    <w:rsid w:val="006D7CCB"/>
    <w:rsid w:val="006F2A25"/>
    <w:rsid w:val="007237E5"/>
    <w:rsid w:val="0072437D"/>
    <w:rsid w:val="0072670A"/>
    <w:rsid w:val="00765C19"/>
    <w:rsid w:val="00792BAC"/>
    <w:rsid w:val="00793EC9"/>
    <w:rsid w:val="00796ABC"/>
    <w:rsid w:val="007C2677"/>
    <w:rsid w:val="007D1E2B"/>
    <w:rsid w:val="007F0D87"/>
    <w:rsid w:val="007F13A4"/>
    <w:rsid w:val="007F7383"/>
    <w:rsid w:val="0080334A"/>
    <w:rsid w:val="008222B7"/>
    <w:rsid w:val="00824F18"/>
    <w:rsid w:val="00833678"/>
    <w:rsid w:val="008437B3"/>
    <w:rsid w:val="00850596"/>
    <w:rsid w:val="00853C44"/>
    <w:rsid w:val="00857F33"/>
    <w:rsid w:val="00864B08"/>
    <w:rsid w:val="00873A78"/>
    <w:rsid w:val="008A66A6"/>
    <w:rsid w:val="008B326B"/>
    <w:rsid w:val="008C5B70"/>
    <w:rsid w:val="008D5DA4"/>
    <w:rsid w:val="008E1B2A"/>
    <w:rsid w:val="008F6AD8"/>
    <w:rsid w:val="00926631"/>
    <w:rsid w:val="009346CE"/>
    <w:rsid w:val="00935DB2"/>
    <w:rsid w:val="009934D8"/>
    <w:rsid w:val="009B3EDF"/>
    <w:rsid w:val="009B4119"/>
    <w:rsid w:val="009C0564"/>
    <w:rsid w:val="009D1985"/>
    <w:rsid w:val="009E05B1"/>
    <w:rsid w:val="00A06534"/>
    <w:rsid w:val="00A1417F"/>
    <w:rsid w:val="00A4037D"/>
    <w:rsid w:val="00A4524A"/>
    <w:rsid w:val="00A47CAF"/>
    <w:rsid w:val="00A618BC"/>
    <w:rsid w:val="00A748B4"/>
    <w:rsid w:val="00A863F9"/>
    <w:rsid w:val="00A86EF2"/>
    <w:rsid w:val="00A9730D"/>
    <w:rsid w:val="00AF302D"/>
    <w:rsid w:val="00AF3EFB"/>
    <w:rsid w:val="00B01608"/>
    <w:rsid w:val="00B31CF1"/>
    <w:rsid w:val="00B514FE"/>
    <w:rsid w:val="00B71BB6"/>
    <w:rsid w:val="00BD5448"/>
    <w:rsid w:val="00BE35F0"/>
    <w:rsid w:val="00BE5AE2"/>
    <w:rsid w:val="00C11432"/>
    <w:rsid w:val="00C13668"/>
    <w:rsid w:val="00C33993"/>
    <w:rsid w:val="00C43DA0"/>
    <w:rsid w:val="00C455DA"/>
    <w:rsid w:val="00C45BAD"/>
    <w:rsid w:val="00C55E23"/>
    <w:rsid w:val="00C66392"/>
    <w:rsid w:val="00CB4545"/>
    <w:rsid w:val="00CB5248"/>
    <w:rsid w:val="00CC5CEA"/>
    <w:rsid w:val="00D102E8"/>
    <w:rsid w:val="00D116E5"/>
    <w:rsid w:val="00D425FB"/>
    <w:rsid w:val="00D537FC"/>
    <w:rsid w:val="00D56FE0"/>
    <w:rsid w:val="00D91CA2"/>
    <w:rsid w:val="00DA2D67"/>
    <w:rsid w:val="00DB4153"/>
    <w:rsid w:val="00E02C45"/>
    <w:rsid w:val="00E3703F"/>
    <w:rsid w:val="00E604DD"/>
    <w:rsid w:val="00E74272"/>
    <w:rsid w:val="00E828F2"/>
    <w:rsid w:val="00E85929"/>
    <w:rsid w:val="00E865FD"/>
    <w:rsid w:val="00E969F3"/>
    <w:rsid w:val="00EC5EE7"/>
    <w:rsid w:val="00F038B2"/>
    <w:rsid w:val="00F044CF"/>
    <w:rsid w:val="00F104EB"/>
    <w:rsid w:val="00F139D6"/>
    <w:rsid w:val="00F4518E"/>
    <w:rsid w:val="00F61084"/>
    <w:rsid w:val="00F7165E"/>
    <w:rsid w:val="00F72244"/>
    <w:rsid w:val="00F863F4"/>
    <w:rsid w:val="00F91410"/>
    <w:rsid w:val="00F91F4D"/>
    <w:rsid w:val="00FA3510"/>
    <w:rsid w:val="00FB6709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389026"/>
  <w15:docId w15:val="{E231F58B-B310-4A44-9474-2B6C4BDB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04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1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11E"/>
  </w:style>
  <w:style w:type="paragraph" w:styleId="Footer">
    <w:name w:val="footer"/>
    <w:basedOn w:val="Normal"/>
    <w:link w:val="FooterChar"/>
    <w:uiPriority w:val="99"/>
    <w:unhideWhenUsed/>
    <w:rsid w:val="00413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1E"/>
  </w:style>
  <w:style w:type="table" w:styleId="TableGrid">
    <w:name w:val="Table Grid"/>
    <w:basedOn w:val="TableNormal"/>
    <w:uiPriority w:val="59"/>
    <w:rsid w:val="0041311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E35F0"/>
  </w:style>
  <w:style w:type="paragraph" w:styleId="BalloonText">
    <w:name w:val="Balloon Text"/>
    <w:basedOn w:val="Normal"/>
    <w:link w:val="BalloonTextChar"/>
    <w:uiPriority w:val="99"/>
    <w:semiHidden/>
    <w:unhideWhenUsed/>
    <w:rsid w:val="00BE35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F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1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3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368"/>
    <w:rPr>
      <w:b/>
      <w:bCs/>
      <w:sz w:val="20"/>
      <w:szCs w:val="20"/>
    </w:rPr>
  </w:style>
  <w:style w:type="paragraph" w:customStyle="1" w:styleId="BIO">
    <w:name w:val="BIO"/>
    <w:basedOn w:val="Normal"/>
    <w:qFormat/>
    <w:rsid w:val="00D56FE0"/>
    <w:pPr>
      <w:spacing w:after="160"/>
      <w:ind w:left="288" w:hanging="288"/>
      <w:jc w:val="both"/>
    </w:pPr>
    <w:rPr>
      <w:rFonts w:ascii="Garamond" w:hAnsi="Garamond"/>
      <w:color w:val="000000"/>
      <w:sz w:val="22"/>
      <w:szCs w:val="28"/>
      <w:shd w:val="clear" w:color="auto" w:fill="FFFFFF"/>
    </w:rPr>
  </w:style>
  <w:style w:type="character" w:styleId="Hyperlink">
    <w:name w:val="Hyperlink"/>
    <w:basedOn w:val="DefaultParagraphFont"/>
    <w:rsid w:val="00D56FE0"/>
    <w:rPr>
      <w:color w:val="0000FF"/>
      <w:u w:val="single"/>
    </w:rPr>
  </w:style>
  <w:style w:type="paragraph" w:customStyle="1" w:styleId="email">
    <w:name w:val="email"/>
    <w:basedOn w:val="Normal"/>
    <w:qFormat/>
    <w:rsid w:val="00D56FE0"/>
    <w:pPr>
      <w:spacing w:after="140"/>
      <w:ind w:left="144"/>
    </w:pPr>
    <w:rPr>
      <w:rFonts w:ascii="Times" w:eastAsia="Times" w:hAnsi="Times" w:cs="Times New Roman"/>
      <w:szCs w:val="20"/>
    </w:rPr>
  </w:style>
  <w:style w:type="paragraph" w:styleId="Revision">
    <w:name w:val="Revision"/>
    <w:hidden/>
    <w:uiPriority w:val="99"/>
    <w:semiHidden/>
    <w:rsid w:val="00D56FE0"/>
  </w:style>
  <w:style w:type="paragraph" w:styleId="FootnoteText">
    <w:name w:val="footnote text"/>
    <w:basedOn w:val="Normal"/>
    <w:link w:val="FootnoteTextChar"/>
    <w:uiPriority w:val="99"/>
    <w:unhideWhenUsed/>
    <w:rsid w:val="00D56FE0"/>
  </w:style>
  <w:style w:type="character" w:customStyle="1" w:styleId="FootnoteTextChar">
    <w:name w:val="Footnote Text Char"/>
    <w:basedOn w:val="DefaultParagraphFont"/>
    <w:link w:val="FootnoteText"/>
    <w:uiPriority w:val="99"/>
    <w:rsid w:val="00D56FE0"/>
  </w:style>
  <w:style w:type="character" w:styleId="FootnoteReference">
    <w:name w:val="footnote reference"/>
    <w:basedOn w:val="DefaultParagraphFont"/>
    <w:uiPriority w:val="99"/>
    <w:unhideWhenUsed/>
    <w:rsid w:val="00D56FE0"/>
    <w:rPr>
      <w:vertAlign w:val="superscript"/>
    </w:rPr>
  </w:style>
  <w:style w:type="paragraph" w:customStyle="1" w:styleId="TNR12Text">
    <w:name w:val="TNR 12 Text"/>
    <w:basedOn w:val="Normal"/>
    <w:rsid w:val="001D421B"/>
    <w:pPr>
      <w:spacing w:line="360" w:lineRule="auto"/>
    </w:pPr>
    <w:rPr>
      <w:rFonts w:ascii="Times New Roman" w:eastAsiaTheme="minorEastAsia" w:hAnsi="Times New Roman" w:cs="Times New Roman"/>
    </w:rPr>
  </w:style>
  <w:style w:type="paragraph" w:customStyle="1" w:styleId="Head1">
    <w:name w:val="Head 1"/>
    <w:basedOn w:val="Normal"/>
    <w:qFormat/>
    <w:rsid w:val="00A4524A"/>
    <w:rPr>
      <w:b/>
    </w:rPr>
  </w:style>
  <w:style w:type="paragraph" w:styleId="NoSpacing">
    <w:name w:val="No Spacing"/>
    <w:uiPriority w:val="1"/>
    <w:qFormat/>
    <w:rsid w:val="00366F10"/>
  </w:style>
  <w:style w:type="paragraph" w:customStyle="1" w:styleId="Specialhead">
    <w:name w:val="Special head"/>
    <w:basedOn w:val="Normal"/>
    <w:qFormat/>
    <w:rsid w:val="00824F18"/>
    <w:pPr>
      <w:tabs>
        <w:tab w:val="left" w:pos="2554"/>
        <w:tab w:val="left" w:pos="9810"/>
      </w:tabs>
      <w:spacing w:before="120" w:after="40"/>
      <w:ind w:left="274" w:right="274" w:hanging="274"/>
    </w:pPr>
    <w:rPr>
      <w:rFonts w:ascii="Founders Grotesk Semibold" w:hAnsi="Founders Grotesk Semibold"/>
      <w:b/>
    </w:rPr>
  </w:style>
  <w:style w:type="paragraph" w:customStyle="1" w:styleId="Specialinternal">
    <w:name w:val="Special internal"/>
    <w:basedOn w:val="ListParagraph"/>
    <w:qFormat/>
    <w:rsid w:val="0067199A"/>
    <w:pPr>
      <w:numPr>
        <w:numId w:val="45"/>
      </w:numPr>
      <w:spacing w:after="80"/>
      <w:contextualSpacing w:val="0"/>
    </w:pPr>
    <w:rPr>
      <w:rFonts w:ascii="DTL Documenta TOT" w:hAnsi="DTL Documenta TOT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2663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04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1">
    <w:name w:val="Bul 1"/>
    <w:basedOn w:val="Specialinternal"/>
    <w:qFormat/>
    <w:rsid w:val="00F72244"/>
  </w:style>
  <w:style w:type="paragraph" w:customStyle="1" w:styleId="DHead1">
    <w:name w:val="D Head 1"/>
    <w:basedOn w:val="Specialhead"/>
    <w:qFormat/>
    <w:rsid w:val="00C11432"/>
    <w:pPr>
      <w:spacing w:before="180" w:after="0"/>
    </w:pPr>
  </w:style>
  <w:style w:type="paragraph" w:customStyle="1" w:styleId="Dbul1">
    <w:name w:val="D bul 1"/>
    <w:basedOn w:val="Specialinternal"/>
    <w:qFormat/>
    <w:rsid w:val="00C11432"/>
    <w:pPr>
      <w:numPr>
        <w:numId w:val="46"/>
      </w:numPr>
      <w:tabs>
        <w:tab w:val="left" w:pos="9810"/>
      </w:tabs>
      <w:spacing w:before="80" w:after="0"/>
      <w:ind w:left="720" w:right="274"/>
    </w:pPr>
    <w:rPr>
      <w:rFonts w:asciiTheme="minorHAnsi" w:hAnsiTheme="minorHAnsi"/>
    </w:rPr>
  </w:style>
  <w:style w:type="paragraph" w:customStyle="1" w:styleId="Dmainhead">
    <w:name w:val="D main head"/>
    <w:basedOn w:val="TNR12Text"/>
    <w:qFormat/>
    <w:rsid w:val="00C11432"/>
    <w:pPr>
      <w:spacing w:before="240" w:line="240" w:lineRule="auto"/>
      <w:jc w:val="center"/>
    </w:pPr>
    <w:rPr>
      <w:rFonts w:ascii="Founders Grotesk Semibold" w:hAnsi="Founders Grotesk Semibold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peninstitute.org/publications/transfer-playboo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FCB38E-288E-41B8-8C12-9BA707AD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Deane</dc:creator>
  <cp:lastModifiedBy>Gretchen Schmidt</cp:lastModifiedBy>
  <cp:revision>2</cp:revision>
  <cp:lastPrinted>2016-06-30T19:30:00Z</cp:lastPrinted>
  <dcterms:created xsi:type="dcterms:W3CDTF">2017-04-07T13:04:00Z</dcterms:created>
  <dcterms:modified xsi:type="dcterms:W3CDTF">2017-04-07T13:04:00Z</dcterms:modified>
</cp:coreProperties>
</file>