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DD08" w14:textId="3208DCAB" w:rsidR="008F0D19" w:rsidRPr="00F95718" w:rsidRDefault="008F0D19" w:rsidP="00D20EB3">
      <w:pPr>
        <w:spacing w:after="0"/>
        <w:rPr>
          <w:rFonts w:ascii="Arial" w:hAnsi="Arial" w:cs="Arial"/>
          <w:b/>
          <w:sz w:val="20"/>
          <w:szCs w:val="20"/>
        </w:rPr>
      </w:pPr>
    </w:p>
    <w:p w14:paraId="0FD20D78" w14:textId="30648BC1" w:rsidR="00D20EB3" w:rsidRPr="00F95718" w:rsidRDefault="008F0D19" w:rsidP="00D20EB3">
      <w:pPr>
        <w:spacing w:after="0"/>
        <w:rPr>
          <w:rFonts w:ascii="Arial" w:hAnsi="Arial" w:cs="Arial"/>
          <w:b/>
          <w:sz w:val="20"/>
          <w:szCs w:val="20"/>
        </w:rPr>
      </w:pPr>
      <w:r w:rsidRPr="00F95718">
        <w:rPr>
          <w:rFonts w:ascii="Arial" w:hAnsi="Arial" w:cs="Arial"/>
          <w:b/>
          <w:sz w:val="20"/>
          <w:szCs w:val="20"/>
        </w:rPr>
        <w:t xml:space="preserve">AACC Pathways Institute </w:t>
      </w:r>
      <w:r w:rsidR="00C91D4C">
        <w:rPr>
          <w:rFonts w:ascii="Arial" w:hAnsi="Arial" w:cs="Arial"/>
          <w:b/>
          <w:sz w:val="20"/>
          <w:szCs w:val="20"/>
        </w:rPr>
        <w:t>–</w:t>
      </w:r>
      <w:r w:rsidRPr="00F95718">
        <w:rPr>
          <w:rFonts w:ascii="Arial" w:hAnsi="Arial" w:cs="Arial"/>
          <w:b/>
          <w:sz w:val="20"/>
          <w:szCs w:val="20"/>
        </w:rPr>
        <w:t xml:space="preserve"> </w:t>
      </w:r>
      <w:r w:rsidR="00C91D4C">
        <w:rPr>
          <w:rFonts w:ascii="Arial" w:hAnsi="Arial" w:cs="Arial"/>
          <w:b/>
          <w:sz w:val="20"/>
          <w:szCs w:val="20"/>
        </w:rPr>
        <w:t xml:space="preserve">Exploring Commonly Asked </w:t>
      </w:r>
      <w:r w:rsidR="007B7FC3" w:rsidRPr="00F95718">
        <w:rPr>
          <w:rFonts w:ascii="Arial" w:hAnsi="Arial" w:cs="Arial"/>
          <w:b/>
          <w:sz w:val="20"/>
          <w:szCs w:val="20"/>
        </w:rPr>
        <w:t xml:space="preserve">Pathways Questions </w:t>
      </w:r>
    </w:p>
    <w:p w14:paraId="085B76D6" w14:textId="50C14B89" w:rsidR="00D20EB3" w:rsidRPr="00F95718" w:rsidRDefault="007B7FC3" w:rsidP="00D20EB3">
      <w:pPr>
        <w:spacing w:after="0"/>
        <w:rPr>
          <w:rFonts w:ascii="Arial" w:hAnsi="Arial" w:cs="Arial"/>
          <w:b/>
          <w:sz w:val="20"/>
          <w:szCs w:val="20"/>
        </w:rPr>
      </w:pPr>
      <w:r w:rsidRPr="00F95718">
        <w:rPr>
          <w:rFonts w:ascii="Arial" w:hAnsi="Arial" w:cs="Arial"/>
          <w:b/>
          <w:sz w:val="20"/>
          <w:szCs w:val="20"/>
        </w:rPr>
        <w:t xml:space="preserve">Based on </w:t>
      </w:r>
      <w:r w:rsidR="00D20EB3" w:rsidRPr="00F95718">
        <w:rPr>
          <w:rFonts w:ascii="Arial" w:hAnsi="Arial" w:cs="Arial"/>
          <w:b/>
          <w:i/>
          <w:sz w:val="20"/>
          <w:szCs w:val="20"/>
        </w:rPr>
        <w:t>Guided Pathways Demystified</w:t>
      </w:r>
      <w:r w:rsidR="00D20EB3" w:rsidRPr="00F95718">
        <w:rPr>
          <w:rFonts w:ascii="Arial" w:hAnsi="Arial" w:cs="Arial"/>
          <w:b/>
          <w:sz w:val="20"/>
          <w:szCs w:val="20"/>
        </w:rPr>
        <w:t>: Exploring Ten Commonly Asked Questions about Implementing Pathways</w:t>
      </w:r>
    </w:p>
    <w:p w14:paraId="37EA92BC" w14:textId="77777777" w:rsidR="00D20EB3" w:rsidRPr="00F95718" w:rsidRDefault="008E41A9" w:rsidP="00D20EB3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D20EB3" w:rsidRPr="00F95718">
          <w:rPr>
            <w:rStyle w:val="Hyperlink"/>
            <w:rFonts w:ascii="Arial" w:hAnsi="Arial" w:cs="Arial"/>
            <w:sz w:val="20"/>
            <w:szCs w:val="20"/>
          </w:rPr>
          <w:t>http://inquiry2improvement.com/attachments/article/12/PWs-Demystified-Johnstone-110315.pdf</w:t>
        </w:r>
      </w:hyperlink>
    </w:p>
    <w:p w14:paraId="3D0C0978" w14:textId="77777777" w:rsidR="00D20EB3" w:rsidRPr="00F95718" w:rsidRDefault="00D20EB3">
      <w:pPr>
        <w:rPr>
          <w:rFonts w:ascii="Arial" w:hAnsi="Arial" w:cs="Arial"/>
          <w:sz w:val="20"/>
          <w:szCs w:val="20"/>
        </w:rPr>
      </w:pPr>
    </w:p>
    <w:p w14:paraId="11D40BE6" w14:textId="338F6337" w:rsidR="00D20EB3" w:rsidRPr="00FC770A" w:rsidRDefault="00747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Instructions: </w:t>
      </w:r>
      <w:r w:rsidR="00B610CC" w:rsidRPr="00FC770A">
        <w:rPr>
          <w:rFonts w:ascii="Arial" w:hAnsi="Arial" w:cs="Arial"/>
          <w:sz w:val="20"/>
          <w:szCs w:val="20"/>
        </w:rPr>
        <w:t xml:space="preserve">The NCII </w:t>
      </w:r>
      <w:r w:rsidR="007132BE" w:rsidRPr="00FC770A">
        <w:rPr>
          <w:rFonts w:ascii="Arial" w:hAnsi="Arial" w:cs="Arial"/>
          <w:sz w:val="20"/>
          <w:szCs w:val="20"/>
        </w:rPr>
        <w:t>paper</w:t>
      </w:r>
      <w:r w:rsidRPr="00FC770A">
        <w:rPr>
          <w:rFonts w:ascii="Arial" w:hAnsi="Arial" w:cs="Arial"/>
          <w:sz w:val="20"/>
          <w:szCs w:val="20"/>
        </w:rPr>
        <w:t>,</w:t>
      </w:r>
      <w:r w:rsidR="007132BE" w:rsidRPr="00FC770A">
        <w:rPr>
          <w:rFonts w:ascii="Arial" w:hAnsi="Arial" w:cs="Arial"/>
          <w:sz w:val="20"/>
          <w:szCs w:val="20"/>
        </w:rPr>
        <w:t xml:space="preserve"> </w:t>
      </w:r>
      <w:r w:rsidR="007132BE" w:rsidRPr="00FC770A">
        <w:rPr>
          <w:rFonts w:ascii="Arial" w:hAnsi="Arial" w:cs="Arial"/>
          <w:b/>
          <w:sz w:val="20"/>
          <w:szCs w:val="20"/>
        </w:rPr>
        <w:t>Guided Pathways Demystified</w:t>
      </w:r>
      <w:r>
        <w:rPr>
          <w:rFonts w:ascii="Arial" w:hAnsi="Arial" w:cs="Arial"/>
          <w:b/>
          <w:sz w:val="20"/>
          <w:szCs w:val="20"/>
        </w:rPr>
        <w:t>,</w:t>
      </w:r>
      <w:r w:rsidR="007132BE" w:rsidRPr="00FC770A">
        <w:rPr>
          <w:rFonts w:ascii="Arial" w:hAnsi="Arial" w:cs="Arial"/>
          <w:sz w:val="20"/>
          <w:szCs w:val="20"/>
        </w:rPr>
        <w:t xml:space="preserve"> </w:t>
      </w:r>
      <w:r w:rsidR="00B610CC" w:rsidRPr="00FC770A">
        <w:rPr>
          <w:rFonts w:ascii="Arial" w:hAnsi="Arial" w:cs="Arial"/>
          <w:sz w:val="20"/>
          <w:szCs w:val="20"/>
        </w:rPr>
        <w:t xml:space="preserve">explores ten </w:t>
      </w:r>
      <w:r>
        <w:rPr>
          <w:rFonts w:ascii="Arial" w:hAnsi="Arial" w:cs="Arial"/>
          <w:sz w:val="20"/>
          <w:szCs w:val="20"/>
        </w:rPr>
        <w:t xml:space="preserve">questions </w:t>
      </w:r>
      <w:r w:rsidR="00B610CC" w:rsidRPr="00FC770A">
        <w:rPr>
          <w:rFonts w:ascii="Arial" w:hAnsi="Arial" w:cs="Arial"/>
          <w:sz w:val="20"/>
          <w:szCs w:val="20"/>
        </w:rPr>
        <w:t xml:space="preserve">commonly asked by faculty and staff about implementing guided pathways. The responses </w:t>
      </w:r>
      <w:r>
        <w:rPr>
          <w:rFonts w:ascii="Arial" w:hAnsi="Arial" w:cs="Arial"/>
          <w:sz w:val="20"/>
          <w:szCs w:val="20"/>
        </w:rPr>
        <w:t xml:space="preserve">offered </w:t>
      </w:r>
      <w:r w:rsidR="00B610CC" w:rsidRPr="00FC770A">
        <w:rPr>
          <w:rFonts w:ascii="Arial" w:hAnsi="Arial" w:cs="Arial"/>
          <w:sz w:val="20"/>
          <w:szCs w:val="20"/>
        </w:rPr>
        <w:t>in the report use research and promising practices from the field to address concerns about compromising</w:t>
      </w:r>
      <w:r w:rsidRPr="00FC770A">
        <w:rPr>
          <w:rFonts w:ascii="Arial" w:hAnsi="Arial" w:cs="Arial"/>
          <w:sz w:val="20"/>
          <w:szCs w:val="20"/>
        </w:rPr>
        <w:t xml:space="preserve"> </w:t>
      </w:r>
      <w:r w:rsidR="00B610CC" w:rsidRPr="00FC770A">
        <w:rPr>
          <w:rFonts w:ascii="Arial" w:hAnsi="Arial" w:cs="Arial"/>
          <w:sz w:val="20"/>
          <w:szCs w:val="20"/>
        </w:rPr>
        <w:t>higher education values, practical considerations about control and enrollment, and apprehensions about impact</w:t>
      </w:r>
      <w:r>
        <w:rPr>
          <w:rFonts w:ascii="Arial" w:hAnsi="Arial" w:cs="Arial"/>
          <w:sz w:val="20"/>
          <w:szCs w:val="20"/>
        </w:rPr>
        <w:t>s</w:t>
      </w:r>
      <w:r w:rsidR="00B610CC" w:rsidRPr="00FC770A">
        <w:rPr>
          <w:rFonts w:ascii="Arial" w:hAnsi="Arial" w:cs="Arial"/>
          <w:sz w:val="20"/>
          <w:szCs w:val="20"/>
        </w:rPr>
        <w:t xml:space="preserve"> on students’ learning and development—all issues that will need to be addressed to successfully pursue a guided pathways effort.  This </w:t>
      </w:r>
      <w:r w:rsidR="007B7FC3" w:rsidRPr="00FC770A">
        <w:rPr>
          <w:rFonts w:ascii="Arial" w:hAnsi="Arial" w:cs="Arial"/>
          <w:sz w:val="20"/>
          <w:szCs w:val="20"/>
        </w:rPr>
        <w:t xml:space="preserve">exploration template is </w:t>
      </w:r>
      <w:r>
        <w:rPr>
          <w:rFonts w:ascii="Arial" w:hAnsi="Arial" w:cs="Arial"/>
          <w:sz w:val="20"/>
          <w:szCs w:val="20"/>
        </w:rPr>
        <w:t xml:space="preserve">adapted from </w:t>
      </w:r>
      <w:r w:rsidR="007B7FC3" w:rsidRPr="00FC770A">
        <w:rPr>
          <w:rFonts w:ascii="Arial" w:hAnsi="Arial" w:cs="Arial"/>
          <w:sz w:val="20"/>
          <w:szCs w:val="20"/>
        </w:rPr>
        <w:t xml:space="preserve">the companion </w:t>
      </w:r>
      <w:r w:rsidR="00B610CC" w:rsidRPr="00FC770A">
        <w:rPr>
          <w:rFonts w:ascii="Arial" w:hAnsi="Arial" w:cs="Arial"/>
          <w:sz w:val="20"/>
          <w:szCs w:val="20"/>
        </w:rPr>
        <w:t xml:space="preserve">discussion guide </w:t>
      </w:r>
      <w:r w:rsidR="007B7FC3" w:rsidRPr="00FC770A">
        <w:rPr>
          <w:rFonts w:ascii="Arial" w:hAnsi="Arial" w:cs="Arial"/>
          <w:sz w:val="20"/>
          <w:szCs w:val="20"/>
        </w:rPr>
        <w:t xml:space="preserve">developed by NCII and </w:t>
      </w:r>
      <w:r w:rsidR="00B610CC" w:rsidRPr="00FC770A">
        <w:rPr>
          <w:rFonts w:ascii="Arial" w:hAnsi="Arial" w:cs="Arial"/>
          <w:sz w:val="20"/>
          <w:szCs w:val="20"/>
        </w:rPr>
        <w:t xml:space="preserve">is designed to </w:t>
      </w:r>
      <w:r>
        <w:rPr>
          <w:rFonts w:ascii="Arial" w:hAnsi="Arial" w:cs="Arial"/>
          <w:sz w:val="20"/>
          <w:szCs w:val="20"/>
        </w:rPr>
        <w:t>promote</w:t>
      </w:r>
      <w:r w:rsidR="00B610CC" w:rsidRPr="00FC770A">
        <w:rPr>
          <w:rFonts w:ascii="Arial" w:hAnsi="Arial" w:cs="Arial"/>
          <w:sz w:val="20"/>
          <w:szCs w:val="20"/>
        </w:rPr>
        <w:t xml:space="preserve"> a dialogue at your institution about these prevailing concerns</w:t>
      </w:r>
      <w:r w:rsidRPr="002F7DB9">
        <w:rPr>
          <w:rFonts w:ascii="Arial" w:hAnsi="Arial" w:cs="Arial"/>
          <w:sz w:val="20"/>
          <w:szCs w:val="20"/>
        </w:rPr>
        <w:t>—</w:t>
      </w:r>
      <w:r w:rsidR="00B610CC" w:rsidRPr="00FC770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support </w:t>
      </w:r>
      <w:r w:rsidR="00B610CC" w:rsidRPr="00FC770A">
        <w:rPr>
          <w:rFonts w:ascii="Arial" w:hAnsi="Arial" w:cs="Arial"/>
          <w:sz w:val="20"/>
          <w:szCs w:val="20"/>
        </w:rPr>
        <w:t>develop</w:t>
      </w:r>
      <w:r>
        <w:rPr>
          <w:rFonts w:ascii="Arial" w:hAnsi="Arial" w:cs="Arial"/>
          <w:sz w:val="20"/>
          <w:szCs w:val="20"/>
        </w:rPr>
        <w:t>ment of</w:t>
      </w:r>
      <w:r w:rsidR="00B610CC" w:rsidRPr="00FC770A">
        <w:rPr>
          <w:rFonts w:ascii="Arial" w:hAnsi="Arial" w:cs="Arial"/>
          <w:sz w:val="20"/>
          <w:szCs w:val="20"/>
        </w:rPr>
        <w:t xml:space="preserve"> a plan </w:t>
      </w:r>
      <w:r w:rsidR="00FF1B00" w:rsidRPr="00FC770A">
        <w:rPr>
          <w:rFonts w:ascii="Arial" w:hAnsi="Arial" w:cs="Arial"/>
          <w:sz w:val="20"/>
          <w:szCs w:val="20"/>
        </w:rPr>
        <w:t>for addressing the conc</w:t>
      </w:r>
      <w:bookmarkStart w:id="0" w:name="_GoBack"/>
      <w:bookmarkEnd w:id="0"/>
      <w:r w:rsidR="00FF1B00" w:rsidRPr="00FC770A">
        <w:rPr>
          <w:rFonts w:ascii="Arial" w:hAnsi="Arial" w:cs="Arial"/>
          <w:sz w:val="20"/>
          <w:szCs w:val="20"/>
        </w:rPr>
        <w:t>erns while engaging</w:t>
      </w:r>
      <w:r w:rsidR="00B610CC" w:rsidRPr="00FC770A">
        <w:rPr>
          <w:rFonts w:ascii="Arial" w:hAnsi="Arial" w:cs="Arial"/>
          <w:sz w:val="20"/>
          <w:szCs w:val="20"/>
        </w:rPr>
        <w:t xml:space="preserve"> the institution’s stakeholders</w:t>
      </w:r>
      <w:r w:rsidR="00FF1B00" w:rsidRPr="00FC770A">
        <w:rPr>
          <w:rFonts w:ascii="Arial" w:hAnsi="Arial" w:cs="Arial"/>
          <w:sz w:val="20"/>
          <w:szCs w:val="20"/>
        </w:rPr>
        <w:t xml:space="preserve"> in the solution</w:t>
      </w:r>
      <w:r w:rsidR="00B610CC" w:rsidRPr="00FC770A">
        <w:rPr>
          <w:rFonts w:ascii="Arial" w:hAnsi="Arial" w:cs="Arial"/>
          <w:sz w:val="20"/>
          <w:szCs w:val="20"/>
        </w:rPr>
        <w:t>.</w:t>
      </w:r>
      <w:r w:rsidR="00B66FDD" w:rsidRPr="00FC770A">
        <w:rPr>
          <w:rFonts w:ascii="Arial" w:hAnsi="Arial" w:cs="Arial"/>
          <w:sz w:val="20"/>
          <w:szCs w:val="20"/>
        </w:rPr>
        <w:t xml:space="preserve"> </w:t>
      </w:r>
      <w:r w:rsidR="00B66FDD" w:rsidRPr="00FC770A">
        <w:rPr>
          <w:rFonts w:ascii="Arial" w:hAnsi="Arial" w:cs="Arial"/>
          <w:b/>
          <w:sz w:val="20"/>
          <w:szCs w:val="20"/>
        </w:rPr>
        <w:t xml:space="preserve">Please complete this </w:t>
      </w:r>
      <w:r w:rsidR="007B7FC3" w:rsidRPr="00FC770A">
        <w:rPr>
          <w:rFonts w:ascii="Arial" w:hAnsi="Arial" w:cs="Arial"/>
          <w:b/>
          <w:sz w:val="20"/>
          <w:szCs w:val="20"/>
        </w:rPr>
        <w:t xml:space="preserve">template </w:t>
      </w:r>
      <w:r>
        <w:rPr>
          <w:rFonts w:ascii="Arial" w:hAnsi="Arial" w:cs="Arial"/>
          <w:b/>
          <w:sz w:val="20"/>
          <w:szCs w:val="20"/>
        </w:rPr>
        <w:t xml:space="preserve">at your institution </w:t>
      </w:r>
      <w:r w:rsidR="00B66FDD" w:rsidRPr="00FC770A">
        <w:rPr>
          <w:rFonts w:ascii="Arial" w:hAnsi="Arial" w:cs="Arial"/>
          <w:b/>
          <w:sz w:val="20"/>
          <w:szCs w:val="20"/>
        </w:rPr>
        <w:t>with a cross-functional team that includes academic and student services administrators, faculty in transfer programs, faculty in CTE programs and student services professionals.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965"/>
        <w:gridCol w:w="4950"/>
        <w:gridCol w:w="5220"/>
      </w:tblGrid>
      <w:tr w:rsidR="00593AEA" w:rsidRPr="00F95718" w14:paraId="6C9D56BB" w14:textId="77777777" w:rsidTr="001E3FD7">
        <w:tc>
          <w:tcPr>
            <w:tcW w:w="2965" w:type="dxa"/>
            <w:shd w:val="clear" w:color="auto" w:fill="8EAADB" w:themeFill="accent5" w:themeFillTint="99"/>
          </w:tcPr>
          <w:p w14:paraId="0ED93F17" w14:textId="77777777" w:rsidR="00593AEA" w:rsidRPr="00F95718" w:rsidRDefault="00593AEA" w:rsidP="00D20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8EAADB" w:themeFill="accent5" w:themeFillTint="99"/>
          </w:tcPr>
          <w:p w14:paraId="3F56023D" w14:textId="77777777" w:rsidR="00593AEA" w:rsidRPr="00F95718" w:rsidRDefault="00D20EB3" w:rsidP="00D20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718">
              <w:rPr>
                <w:rFonts w:ascii="Arial" w:hAnsi="Arial" w:cs="Arial"/>
                <w:b/>
                <w:sz w:val="20"/>
                <w:szCs w:val="20"/>
              </w:rPr>
              <w:t>RESPONSES</w:t>
            </w:r>
            <w:r w:rsidR="00B610CC" w:rsidRPr="00F95718">
              <w:rPr>
                <w:rFonts w:ascii="Arial" w:hAnsi="Arial" w:cs="Arial"/>
                <w:b/>
                <w:sz w:val="20"/>
                <w:szCs w:val="20"/>
              </w:rPr>
              <w:t xml:space="preserve"> TO THE QUESTIONS</w:t>
            </w:r>
          </w:p>
        </w:tc>
        <w:tc>
          <w:tcPr>
            <w:tcW w:w="5220" w:type="dxa"/>
            <w:shd w:val="clear" w:color="auto" w:fill="8EAADB" w:themeFill="accent5" w:themeFillTint="99"/>
          </w:tcPr>
          <w:p w14:paraId="61A0B06E" w14:textId="77777777" w:rsidR="00593AEA" w:rsidRPr="00F95718" w:rsidRDefault="00D20EB3" w:rsidP="00D20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718">
              <w:rPr>
                <w:rFonts w:ascii="Arial" w:hAnsi="Arial" w:cs="Arial"/>
                <w:b/>
                <w:sz w:val="20"/>
                <w:szCs w:val="20"/>
              </w:rPr>
              <w:t>POTENTIAL NEXT STEPS TO ADDRESS THE ISSUE</w:t>
            </w:r>
            <w:r w:rsidR="00B610CC" w:rsidRPr="00F95718">
              <w:rPr>
                <w:rFonts w:ascii="Arial" w:hAnsi="Arial" w:cs="Arial"/>
                <w:b/>
                <w:sz w:val="20"/>
                <w:szCs w:val="20"/>
              </w:rPr>
              <w:t>/CONCERN</w:t>
            </w:r>
            <w:r w:rsidRPr="00F95718">
              <w:rPr>
                <w:rFonts w:ascii="Arial" w:hAnsi="Arial" w:cs="Arial"/>
                <w:b/>
                <w:sz w:val="20"/>
                <w:szCs w:val="20"/>
              </w:rPr>
              <w:t xml:space="preserve"> AT OUR INSTITUTION</w:t>
            </w:r>
          </w:p>
        </w:tc>
      </w:tr>
      <w:tr w:rsidR="00593AEA" w:rsidRPr="00F95718" w14:paraId="45F0C753" w14:textId="77777777" w:rsidTr="001E3FD7">
        <w:tc>
          <w:tcPr>
            <w:tcW w:w="2965" w:type="dxa"/>
            <w:shd w:val="clear" w:color="auto" w:fill="D9E2F3" w:themeFill="accent5" w:themeFillTint="33"/>
          </w:tcPr>
          <w:p w14:paraId="6B153DEA" w14:textId="1EDDFF76" w:rsidR="00593AEA" w:rsidRPr="00F95718" w:rsidRDefault="00593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b/>
                <w:sz w:val="20"/>
                <w:szCs w:val="20"/>
              </w:rPr>
              <w:t>Concerns about Compromising</w:t>
            </w:r>
            <w:r w:rsidR="00747C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95718">
              <w:rPr>
                <w:rFonts w:ascii="Arial" w:eastAsia="Times New Roman" w:hAnsi="Arial" w:cs="Arial"/>
                <w:b/>
                <w:sz w:val="20"/>
                <w:szCs w:val="20"/>
              </w:rPr>
              <w:t>Higher Education Values</w:t>
            </w:r>
          </w:p>
        </w:tc>
        <w:tc>
          <w:tcPr>
            <w:tcW w:w="4950" w:type="dxa"/>
            <w:shd w:val="clear" w:color="auto" w:fill="D9E2F3" w:themeFill="accent5" w:themeFillTint="33"/>
          </w:tcPr>
          <w:p w14:paraId="28F52F1F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D9E2F3" w:themeFill="accent5" w:themeFillTint="33"/>
          </w:tcPr>
          <w:p w14:paraId="611D8E81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1582C33C" w14:textId="77777777" w:rsidTr="00593AEA">
        <w:tc>
          <w:tcPr>
            <w:tcW w:w="2965" w:type="dxa"/>
          </w:tcPr>
          <w:p w14:paraId="411B9A89" w14:textId="77777777" w:rsidR="00832DC2" w:rsidRPr="00F95718" w:rsidRDefault="00832DC2" w:rsidP="00832D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Do you think the behavioral economics and social psychology research on the ideal number of choices applies to your students' choices of courses and programs?  </w:t>
            </w:r>
          </w:p>
          <w:p w14:paraId="5B045C60" w14:textId="77777777" w:rsidR="00832DC2" w:rsidRPr="00F95718" w:rsidRDefault="00832DC2" w:rsidP="00832D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58AA36" w14:textId="77777777" w:rsidR="00593AEA" w:rsidRPr="00F95718" w:rsidRDefault="00832DC2" w:rsidP="00832DC2">
            <w:pPr>
              <w:rPr>
                <w:rFonts w:ascii="Arial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Why or why not?</w:t>
            </w:r>
          </w:p>
        </w:tc>
        <w:tc>
          <w:tcPr>
            <w:tcW w:w="4950" w:type="dxa"/>
          </w:tcPr>
          <w:p w14:paraId="5186C391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A09655F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1D083B79" w14:textId="77777777" w:rsidTr="00593AEA">
        <w:tc>
          <w:tcPr>
            <w:tcW w:w="2965" w:type="dxa"/>
          </w:tcPr>
          <w:p w14:paraId="5488807B" w14:textId="459E1A79" w:rsidR="00593AEA" w:rsidRPr="00F95718" w:rsidRDefault="00832DC2" w:rsidP="009C66D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How can we build a structure that allows for some student exploration and choice without allowing </w:t>
            </w:r>
            <w:r w:rsidR="002A137C"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students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to wander aimlessly </w:t>
            </w:r>
            <w:r w:rsidR="009C66DD">
              <w:rPr>
                <w:rFonts w:ascii="Arial" w:eastAsia="Times New Roman" w:hAnsi="Arial" w:cs="Arial"/>
                <w:sz w:val="20"/>
                <w:szCs w:val="20"/>
              </w:rPr>
              <w:t xml:space="preserve">around the curriculum? </w:t>
            </w:r>
          </w:p>
          <w:p w14:paraId="13B5C48E" w14:textId="77777777" w:rsidR="00832DC2" w:rsidRPr="00F95718" w:rsidRDefault="00832DC2" w:rsidP="0072253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What does this look like in effective practice for the student?</w:t>
            </w:r>
          </w:p>
        </w:tc>
        <w:tc>
          <w:tcPr>
            <w:tcW w:w="4950" w:type="dxa"/>
          </w:tcPr>
          <w:p w14:paraId="3F423535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9FFFFE1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3F7C2D79" w14:textId="77777777" w:rsidTr="00593AEA">
        <w:tc>
          <w:tcPr>
            <w:tcW w:w="2965" w:type="dxa"/>
          </w:tcPr>
          <w:p w14:paraId="5FDE578A" w14:textId="1D409A1D" w:rsidR="00593AEA" w:rsidRPr="00F95718" w:rsidRDefault="00832DC2">
            <w:pPr>
              <w:rPr>
                <w:rFonts w:ascii="Arial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Describe the existing barriers to students choosing </w:t>
            </w:r>
            <w:r w:rsidRPr="00FC770A">
              <w:rPr>
                <w:rFonts w:ascii="Arial" w:eastAsia="Times New Roman" w:hAnsi="Arial" w:cs="Arial"/>
                <w:i/>
                <w:sz w:val="20"/>
                <w:szCs w:val="20"/>
              </w:rPr>
              <w:t>programs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instead of a semester of </w:t>
            </w:r>
            <w:r w:rsidRPr="00FC770A">
              <w:rPr>
                <w:rFonts w:ascii="Arial" w:eastAsia="Times New Roman" w:hAnsi="Arial" w:cs="Arial"/>
                <w:i/>
                <w:sz w:val="20"/>
                <w:szCs w:val="20"/>
              </w:rPr>
              <w:t>courses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upon entry to the college</w:t>
            </w:r>
            <w:r w:rsidR="00747CA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14:paraId="6FD12704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5D2B525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24E6B6F6" w14:textId="77777777" w:rsidTr="00593AEA">
        <w:tc>
          <w:tcPr>
            <w:tcW w:w="2965" w:type="dxa"/>
          </w:tcPr>
          <w:p w14:paraId="19E95D6A" w14:textId="17093B18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Assume that we selected six "career focus areas" for your college to help structure student choices of programs, and that the draft list started with Business, Social Sciences</w:t>
            </w:r>
            <w:r w:rsidR="00747CAD">
              <w:rPr>
                <w:rFonts w:ascii="Arial" w:eastAsia="Times New Roman" w:hAnsi="Arial" w:cs="Arial"/>
                <w:sz w:val="20"/>
                <w:szCs w:val="20"/>
              </w:rPr>
              <w:t xml:space="preserve"> &amp; Human Services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47CAD">
              <w:rPr>
                <w:rFonts w:ascii="Arial" w:eastAsia="Times New Roman" w:hAnsi="Arial" w:cs="Arial"/>
                <w:sz w:val="20"/>
                <w:szCs w:val="20"/>
              </w:rPr>
              <w:t xml:space="preserve">STEM,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Health </w:t>
            </w:r>
            <w:r w:rsidR="00747CAD">
              <w:rPr>
                <w:rFonts w:ascii="Arial" w:eastAsia="Times New Roman" w:hAnsi="Arial" w:cs="Arial"/>
                <w:sz w:val="20"/>
                <w:szCs w:val="20"/>
              </w:rPr>
              <w:t>and Bios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ciences, </w:t>
            </w:r>
            <w:r w:rsidR="00747CAD">
              <w:rPr>
                <w:rFonts w:ascii="Arial" w:eastAsia="Times New Roman" w:hAnsi="Arial" w:cs="Arial"/>
                <w:sz w:val="20"/>
                <w:szCs w:val="20"/>
              </w:rPr>
              <w:t xml:space="preserve">Art,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Humanities</w:t>
            </w:r>
            <w:r w:rsidR="00747CAD">
              <w:rPr>
                <w:rFonts w:ascii="Arial" w:eastAsia="Times New Roman" w:hAnsi="Arial" w:cs="Arial"/>
                <w:sz w:val="20"/>
                <w:szCs w:val="20"/>
              </w:rPr>
              <w:t xml:space="preserve"> &amp; Design, and Manufacturing &amp; Construction Technology.</w:t>
            </w:r>
          </w:p>
          <w:p w14:paraId="28B178E9" w14:textId="77777777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784E79" w14:textId="77777777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How do you think this would work at your college?  </w:t>
            </w:r>
          </w:p>
          <w:p w14:paraId="293D541B" w14:textId="77777777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D061EE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What would you add or reframe?</w:t>
            </w:r>
          </w:p>
        </w:tc>
        <w:tc>
          <w:tcPr>
            <w:tcW w:w="4950" w:type="dxa"/>
          </w:tcPr>
          <w:p w14:paraId="4549C44C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9FC7379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6E5EE96A" w14:textId="77777777" w:rsidTr="00593AEA">
        <w:tc>
          <w:tcPr>
            <w:tcW w:w="2965" w:type="dxa"/>
          </w:tcPr>
          <w:p w14:paraId="34AE17A0" w14:textId="77777777" w:rsidR="003036A6" w:rsidRDefault="00593AEA" w:rsidP="00050C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 w:rsidR="00050C55"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might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the redu</w:t>
            </w:r>
            <w:r w:rsidR="00327669"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ction of the number of general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education course options impact the student achievement of your general education outcome</w:t>
            </w:r>
            <w:r w:rsidR="00327669" w:rsidRPr="00F95718">
              <w:rPr>
                <w:rFonts w:ascii="Arial" w:eastAsia="Times New Roman" w:hAnsi="Arial" w:cs="Arial"/>
                <w:sz w:val="20"/>
                <w:szCs w:val="20"/>
              </w:rPr>
              <w:t>s?</w:t>
            </w:r>
            <w:r w:rsidR="00050C55"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7BA68A5D" w14:textId="77777777" w:rsidR="003036A6" w:rsidRDefault="003036A6" w:rsidP="00050C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E8E98C" w14:textId="15CD2F91" w:rsidR="00593AEA" w:rsidRPr="00F95718" w:rsidRDefault="00050C55" w:rsidP="00050C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Why?</w:t>
            </w:r>
          </w:p>
        </w:tc>
        <w:tc>
          <w:tcPr>
            <w:tcW w:w="4950" w:type="dxa"/>
          </w:tcPr>
          <w:p w14:paraId="61547F17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19C9077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AC396" w14:textId="77777777" w:rsidR="003036A6" w:rsidRDefault="003036A6">
      <w:r>
        <w:br w:type="page"/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965"/>
        <w:gridCol w:w="4950"/>
        <w:gridCol w:w="5220"/>
      </w:tblGrid>
      <w:tr w:rsidR="00832DC2" w:rsidRPr="00F95718" w14:paraId="58D1C5CE" w14:textId="77777777" w:rsidTr="00593AEA">
        <w:tc>
          <w:tcPr>
            <w:tcW w:w="2965" w:type="dxa"/>
          </w:tcPr>
          <w:p w14:paraId="04764471" w14:textId="42E9575C" w:rsidR="00832DC2" w:rsidRDefault="00832DC2" w:rsidP="009D17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What metrics and evaluation processes </w:t>
            </w:r>
            <w:r w:rsidR="009D17EE" w:rsidRPr="00F95718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o you use to assess 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 xml:space="preserve">educational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"quality" at your institution?</w:t>
            </w:r>
          </w:p>
          <w:p w14:paraId="22BDA1CB" w14:textId="77777777" w:rsidR="009C66DD" w:rsidRDefault="009C66DD" w:rsidP="009D17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FB73DA" w14:textId="3CC142B6" w:rsidR="00FC770A" w:rsidRDefault="00FC770A" w:rsidP="009D17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70A">
              <w:rPr>
                <w:rFonts w:ascii="Arial" w:eastAsia="Times New Roman" w:hAnsi="Arial" w:cs="Arial"/>
                <w:sz w:val="20"/>
                <w:szCs w:val="20"/>
              </w:rPr>
              <w:t>How does the institution ascertain whether course grades reflect common quality stan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dards across course sections?</w:t>
            </w:r>
          </w:p>
          <w:p w14:paraId="60065512" w14:textId="77777777" w:rsidR="00FC770A" w:rsidRDefault="00FC770A" w:rsidP="009D17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2D6C96" w14:textId="0B20B156" w:rsidR="009C66DD" w:rsidRPr="00F95718" w:rsidRDefault="009C66DD" w:rsidP="00FC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are the major strengths and limits of those processes?</w:t>
            </w:r>
          </w:p>
        </w:tc>
        <w:tc>
          <w:tcPr>
            <w:tcW w:w="4950" w:type="dxa"/>
          </w:tcPr>
          <w:p w14:paraId="4BAB9D38" w14:textId="77777777" w:rsidR="00832DC2" w:rsidRPr="00F95718" w:rsidRDefault="00832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1BB484F" w14:textId="77777777" w:rsidR="00832DC2" w:rsidRPr="00F95718" w:rsidRDefault="00832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69" w:rsidRPr="00F95718" w14:paraId="5C20A38A" w14:textId="77777777" w:rsidTr="00593AEA">
        <w:tc>
          <w:tcPr>
            <w:tcW w:w="2965" w:type="dxa"/>
          </w:tcPr>
          <w:p w14:paraId="029E5824" w14:textId="6593CB3D" w:rsidR="00327669" w:rsidRPr="00F95718" w:rsidRDefault="00327669" w:rsidP="003276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commentRangeStart w:id="1"/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Does </w:t>
            </w:r>
            <w:r w:rsidR="009C66DD">
              <w:rPr>
                <w:rFonts w:ascii="Arial" w:eastAsia="Times New Roman" w:hAnsi="Arial" w:cs="Arial"/>
                <w:sz w:val="20"/>
                <w:szCs w:val="20"/>
              </w:rPr>
              <w:t xml:space="preserve">the design for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a general education student experience get stronger under a guided pathways approach with a recommended / default set of general education course</w:t>
            </w:r>
            <w:r w:rsidR="009C66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66DD">
              <w:rPr>
                <w:rFonts w:ascii="Arial" w:eastAsia="Times New Roman" w:hAnsi="Arial" w:cs="Arial"/>
                <w:sz w:val="20"/>
                <w:szCs w:val="20"/>
              </w:rPr>
              <w:t xml:space="preserve">determined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by program</w:t>
            </w:r>
            <w:r w:rsidR="009C66DD">
              <w:rPr>
                <w:rFonts w:ascii="Arial" w:eastAsia="Times New Roman" w:hAnsi="Arial" w:cs="Arial"/>
                <w:sz w:val="20"/>
                <w:szCs w:val="20"/>
              </w:rPr>
              <w:t xml:space="preserve"> faculty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?  </w:t>
            </w:r>
            <w:commentRangeEnd w:id="1"/>
            <w:r w:rsidR="009C66DD">
              <w:rPr>
                <w:rStyle w:val="CommentReference"/>
              </w:rPr>
              <w:commentReference w:id="1"/>
            </w:r>
          </w:p>
          <w:p w14:paraId="0FA80A90" w14:textId="77777777" w:rsidR="00327669" w:rsidRPr="00F95718" w:rsidRDefault="00327669" w:rsidP="003276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A9F39B" w14:textId="77777777" w:rsidR="00327669" w:rsidRPr="00F95718" w:rsidRDefault="00327669" w:rsidP="003276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Why or why not?</w:t>
            </w:r>
          </w:p>
        </w:tc>
        <w:tc>
          <w:tcPr>
            <w:tcW w:w="4950" w:type="dxa"/>
          </w:tcPr>
          <w:p w14:paraId="5EF3621D" w14:textId="77777777" w:rsidR="00327669" w:rsidRPr="00F95718" w:rsidRDefault="00327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A07E673" w14:textId="77777777" w:rsidR="00327669" w:rsidRPr="00F95718" w:rsidRDefault="003276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2ABC133E" w14:textId="77777777" w:rsidTr="00593AEA">
        <w:tc>
          <w:tcPr>
            <w:tcW w:w="2965" w:type="dxa"/>
          </w:tcPr>
          <w:p w14:paraId="6B2ED633" w14:textId="77777777" w:rsidR="00593AEA" w:rsidRPr="00F95718" w:rsidRDefault="00593AEA" w:rsidP="0072253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Why do you think employers most often report issues with graduates' critical thinking, communication, computation, and problem solving skills?  </w:t>
            </w:r>
          </w:p>
          <w:p w14:paraId="7EDC4009" w14:textId="6E784814" w:rsidR="00593AEA" w:rsidRPr="00F95718" w:rsidRDefault="00327669" w:rsidP="0072253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As you </w:t>
            </w:r>
            <w:r w:rsidR="009C66DD">
              <w:rPr>
                <w:rFonts w:ascii="Arial" w:eastAsia="Times New Roman" w:hAnsi="Arial" w:cs="Arial"/>
                <w:sz w:val="20"/>
                <w:szCs w:val="20"/>
              </w:rPr>
              <w:t xml:space="preserve">design and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implement guided pathways at your institution, how are you addressing/</w:t>
            </w:r>
            <w:r w:rsidR="009C66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embedding these competencies that employers so often feel are lacking</w:t>
            </w:r>
            <w:r w:rsidR="00593AEA" w:rsidRPr="00F95718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4950" w:type="dxa"/>
          </w:tcPr>
          <w:p w14:paraId="62918D7B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4ED9D66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1C087F42" w14:textId="77777777" w:rsidTr="001E3FD7">
        <w:tc>
          <w:tcPr>
            <w:tcW w:w="2965" w:type="dxa"/>
            <w:shd w:val="clear" w:color="auto" w:fill="D9E2F3" w:themeFill="accent5" w:themeFillTint="33"/>
          </w:tcPr>
          <w:p w14:paraId="0C3B0C6A" w14:textId="77777777" w:rsidR="00593AEA" w:rsidRPr="00F95718" w:rsidRDefault="00593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b/>
                <w:sz w:val="20"/>
                <w:szCs w:val="20"/>
              </w:rPr>
              <w:t>Practical Considerations About Control &amp; Enrollment</w:t>
            </w:r>
          </w:p>
        </w:tc>
        <w:tc>
          <w:tcPr>
            <w:tcW w:w="4950" w:type="dxa"/>
            <w:shd w:val="clear" w:color="auto" w:fill="D9E2F3" w:themeFill="accent5" w:themeFillTint="33"/>
          </w:tcPr>
          <w:p w14:paraId="5057FEA5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D9E2F3" w:themeFill="accent5" w:themeFillTint="33"/>
          </w:tcPr>
          <w:p w14:paraId="5AD0EC5D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7DED813B" w14:textId="77777777" w:rsidTr="00593AEA">
        <w:tc>
          <w:tcPr>
            <w:tcW w:w="2965" w:type="dxa"/>
          </w:tcPr>
          <w:p w14:paraId="0D06C7CB" w14:textId="77777777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What has the enrollment trend been at your college in the past 3-4 years?  </w:t>
            </w:r>
          </w:p>
          <w:p w14:paraId="582B6ECB" w14:textId="77777777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46367E" w14:textId="64DB83C1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What is the general consensus on the 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 xml:space="preserve">factors driving </w:t>
            </w:r>
            <w:r w:rsidR="00D20EB3" w:rsidRPr="00F95718">
              <w:rPr>
                <w:rFonts w:ascii="Arial" w:eastAsia="Times New Roman" w:hAnsi="Arial" w:cs="Arial"/>
                <w:sz w:val="20"/>
                <w:szCs w:val="20"/>
              </w:rPr>
              <w:t>your enrollment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trend? </w:t>
            </w:r>
          </w:p>
          <w:p w14:paraId="41A543F5" w14:textId="77777777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2CF314" w14:textId="545A6EB6" w:rsidR="00593AEA" w:rsidRPr="00F95718" w:rsidRDefault="00593AEA" w:rsidP="009C66DD">
            <w:pPr>
              <w:rPr>
                <w:rFonts w:ascii="Arial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Do you have data to support the hypotheses about why </w:t>
            </w:r>
            <w:r w:rsidR="009C66DD">
              <w:rPr>
                <w:rFonts w:ascii="Arial" w:eastAsia="Times New Roman" w:hAnsi="Arial" w:cs="Arial"/>
                <w:sz w:val="20"/>
                <w:szCs w:val="20"/>
              </w:rPr>
              <w:t xml:space="preserve">enrollment is trending in the way you observe? </w:t>
            </w:r>
          </w:p>
        </w:tc>
        <w:tc>
          <w:tcPr>
            <w:tcW w:w="4950" w:type="dxa"/>
          </w:tcPr>
          <w:p w14:paraId="637647BD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BAB1911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75B9C938" w14:textId="77777777" w:rsidTr="00593AEA">
        <w:tc>
          <w:tcPr>
            <w:tcW w:w="2965" w:type="dxa"/>
          </w:tcPr>
          <w:p w14:paraId="1B83AF65" w14:textId="2C560FAA" w:rsidR="00593AEA" w:rsidRPr="00F95718" w:rsidRDefault="00593AEA" w:rsidP="002560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What is the average number of total 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>credits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attempted per new student</w:t>
            </w:r>
            <w:r w:rsidR="002C4C79"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in their first three years at the college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?  </w:t>
            </w:r>
          </w:p>
          <w:p w14:paraId="25EC6C04" w14:textId="77777777" w:rsidR="00593AEA" w:rsidRPr="00F95718" w:rsidRDefault="00593AEA" w:rsidP="00593AE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How can this metric be used to incent guided pathways implementation?</w:t>
            </w:r>
          </w:p>
        </w:tc>
        <w:tc>
          <w:tcPr>
            <w:tcW w:w="4950" w:type="dxa"/>
          </w:tcPr>
          <w:p w14:paraId="79F8A360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2A0967B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0FDE2C87" w14:textId="77777777" w:rsidTr="00593AEA">
        <w:tc>
          <w:tcPr>
            <w:tcW w:w="2965" w:type="dxa"/>
          </w:tcPr>
          <w:p w14:paraId="73694FB1" w14:textId="2F51EC6C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  <w:r w:rsidRPr="00F95718">
              <w:rPr>
                <w:rFonts w:ascii="Arial" w:hAnsi="Arial" w:cs="Arial"/>
                <w:sz w:val="20"/>
                <w:szCs w:val="20"/>
              </w:rPr>
              <w:t xml:space="preserve">What is the average number of </w:t>
            </w:r>
            <w:r w:rsidR="00333C97">
              <w:rPr>
                <w:rFonts w:ascii="Arial" w:hAnsi="Arial" w:cs="Arial"/>
                <w:sz w:val="20"/>
                <w:szCs w:val="20"/>
              </w:rPr>
              <w:t>credits</w:t>
            </w:r>
            <w:r w:rsidRPr="00F95718">
              <w:rPr>
                <w:rFonts w:ascii="Arial" w:hAnsi="Arial" w:cs="Arial"/>
                <w:sz w:val="20"/>
                <w:szCs w:val="20"/>
              </w:rPr>
              <w:t xml:space="preserve"> a student </w:t>
            </w:r>
            <w:r w:rsidR="00333C97">
              <w:rPr>
                <w:rFonts w:ascii="Arial" w:hAnsi="Arial" w:cs="Arial"/>
                <w:sz w:val="20"/>
                <w:szCs w:val="20"/>
              </w:rPr>
              <w:t xml:space="preserve">has earned </w:t>
            </w:r>
            <w:r w:rsidRPr="00F95718">
              <w:rPr>
                <w:rFonts w:ascii="Arial" w:hAnsi="Arial" w:cs="Arial"/>
                <w:sz w:val="20"/>
                <w:szCs w:val="20"/>
              </w:rPr>
              <w:t>when awarded an Associate degree at your institution?</w:t>
            </w:r>
          </w:p>
          <w:p w14:paraId="2A233E4D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9D356" w14:textId="77B51FDD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  <w:r w:rsidRPr="00F95718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2C4C79" w:rsidRPr="00F95718">
              <w:rPr>
                <w:rFonts w:ascii="Arial" w:hAnsi="Arial" w:cs="Arial"/>
                <w:sz w:val="20"/>
                <w:szCs w:val="20"/>
              </w:rPr>
              <w:t xml:space="preserve">would you expect </w:t>
            </w:r>
            <w:r w:rsidRPr="00F95718">
              <w:rPr>
                <w:rFonts w:ascii="Arial" w:hAnsi="Arial" w:cs="Arial"/>
                <w:sz w:val="20"/>
                <w:szCs w:val="20"/>
              </w:rPr>
              <w:t xml:space="preserve">implementation of guided pathways </w:t>
            </w:r>
            <w:r w:rsidR="002C4C79" w:rsidRPr="00F9571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F95718">
              <w:rPr>
                <w:rFonts w:ascii="Arial" w:hAnsi="Arial" w:cs="Arial"/>
                <w:sz w:val="20"/>
                <w:szCs w:val="20"/>
              </w:rPr>
              <w:t>impact that number?</w:t>
            </w:r>
          </w:p>
          <w:p w14:paraId="6ACD4908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799FC" w14:textId="6814966B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  <w:r w:rsidRPr="00F95718">
              <w:rPr>
                <w:rFonts w:ascii="Arial" w:hAnsi="Arial" w:cs="Arial"/>
                <w:sz w:val="20"/>
                <w:szCs w:val="20"/>
              </w:rPr>
              <w:t>What are the implications for return on investment and efficiency metrics?</w:t>
            </w:r>
            <w:r w:rsidR="00333C97">
              <w:rPr>
                <w:rFonts w:ascii="Arial" w:hAnsi="Arial" w:cs="Arial"/>
                <w:sz w:val="20"/>
                <w:szCs w:val="20"/>
              </w:rPr>
              <w:t xml:space="preserve"> For students’ Pell Grant eligibility?</w:t>
            </w:r>
          </w:p>
        </w:tc>
        <w:tc>
          <w:tcPr>
            <w:tcW w:w="4950" w:type="dxa"/>
          </w:tcPr>
          <w:p w14:paraId="675B4FE8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5155EAF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56ADEADC" w14:textId="77777777" w:rsidTr="00593AEA">
        <w:tc>
          <w:tcPr>
            <w:tcW w:w="2965" w:type="dxa"/>
          </w:tcPr>
          <w:p w14:paraId="595EFF6C" w14:textId="77777777" w:rsidR="00593AEA" w:rsidRPr="00F95718" w:rsidRDefault="00593AEA" w:rsidP="002560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How have state transfer agreements, guaranteed transfer agreements, or other 4-year articulation agreements already affected course offerings at your college?  </w:t>
            </w:r>
          </w:p>
          <w:p w14:paraId="2C79BDE8" w14:textId="77777777" w:rsidR="00593AEA" w:rsidRPr="00F95718" w:rsidRDefault="00593AEA" w:rsidP="002560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7747CB" w14:textId="74E7C06D" w:rsidR="00D20EB3" w:rsidRPr="00F95718" w:rsidRDefault="00D20EB3" w:rsidP="002560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commentRangeStart w:id="2"/>
            <w:r w:rsidRPr="00F95718">
              <w:rPr>
                <w:rFonts w:ascii="Arial" w:eastAsia="Times New Roman" w:hAnsi="Arial" w:cs="Arial"/>
                <w:sz w:val="20"/>
                <w:szCs w:val="20"/>
              </w:rPr>
              <w:t>Are transfer changes driven by institutional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 xml:space="preserve"> recalcitrance, 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institutional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collaboration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or state policy?</w:t>
            </w:r>
            <w:commentRangeEnd w:id="2"/>
            <w:r w:rsidR="00333C97">
              <w:rPr>
                <w:rStyle w:val="CommentReference"/>
              </w:rPr>
              <w:commentReference w:id="2"/>
            </w:r>
          </w:p>
          <w:p w14:paraId="5C0A20C5" w14:textId="77777777" w:rsidR="00D20EB3" w:rsidRPr="00F95718" w:rsidRDefault="00D20EB3" w:rsidP="002560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98003C" w14:textId="015F2936" w:rsidR="00593AEA" w:rsidRPr="00F95718" w:rsidRDefault="00333C97" w:rsidP="001E3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are the one or two most powerful strategies</w:t>
            </w:r>
            <w:commentRangeStart w:id="3"/>
            <w:r w:rsidR="00D20EB3"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your institution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can use to </w:t>
            </w:r>
            <w:r w:rsidR="00D20EB3" w:rsidRPr="00F95718">
              <w:rPr>
                <w:rFonts w:ascii="Arial" w:eastAsia="Times New Roman" w:hAnsi="Arial" w:cs="Arial"/>
                <w:sz w:val="20"/>
                <w:szCs w:val="20"/>
              </w:rPr>
              <w:t>strengthen transfer pathways for your students?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4950" w:type="dxa"/>
          </w:tcPr>
          <w:p w14:paraId="614DA907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B5A6A53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5475BB6D" w14:textId="77777777" w:rsidTr="001E3FD7">
        <w:tc>
          <w:tcPr>
            <w:tcW w:w="2965" w:type="dxa"/>
            <w:shd w:val="clear" w:color="auto" w:fill="D9E2F3" w:themeFill="accent5" w:themeFillTint="33"/>
          </w:tcPr>
          <w:p w14:paraId="0D7457DE" w14:textId="77777777" w:rsidR="00593AEA" w:rsidRPr="00F95718" w:rsidRDefault="00593AE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Apprehensions about the Impact on Students' Learning &amp; Development</w:t>
            </w:r>
          </w:p>
        </w:tc>
        <w:tc>
          <w:tcPr>
            <w:tcW w:w="4950" w:type="dxa"/>
            <w:shd w:val="clear" w:color="auto" w:fill="D9E2F3" w:themeFill="accent5" w:themeFillTint="33"/>
          </w:tcPr>
          <w:p w14:paraId="435BA089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D9E2F3" w:themeFill="accent5" w:themeFillTint="33"/>
          </w:tcPr>
          <w:p w14:paraId="2D2A8D26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1DD9F95D" w14:textId="77777777" w:rsidTr="00593AEA">
        <w:tc>
          <w:tcPr>
            <w:tcW w:w="2965" w:type="dxa"/>
          </w:tcPr>
          <w:p w14:paraId="43A42F85" w14:textId="57039563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What steps have you taken to integrate the exploration of interests and careers with 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 xml:space="preserve">students’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program selection at your college?  </w:t>
            </w:r>
          </w:p>
          <w:p w14:paraId="0CBFE2E0" w14:textId="77777777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6F71E2" w14:textId="7A9466F4" w:rsidR="00593AEA" w:rsidRPr="00F95718" w:rsidRDefault="00C02C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Have these steps been </w:t>
            </w:r>
            <w:r w:rsidR="00593AEA" w:rsidRPr="00F95718">
              <w:rPr>
                <w:rFonts w:ascii="Arial" w:eastAsia="Times New Roman" w:hAnsi="Arial" w:cs="Arial"/>
                <w:sz w:val="20"/>
                <w:szCs w:val="20"/>
              </w:rPr>
              <w:t>provided early enough so that students have the information they need to make choices about programs?</w:t>
            </w:r>
          </w:p>
        </w:tc>
        <w:tc>
          <w:tcPr>
            <w:tcW w:w="4950" w:type="dxa"/>
          </w:tcPr>
          <w:p w14:paraId="2670C205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ED00844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29E5CDC2" w14:textId="77777777" w:rsidTr="00593AEA">
        <w:tc>
          <w:tcPr>
            <w:tcW w:w="2965" w:type="dxa"/>
          </w:tcPr>
          <w:p w14:paraId="4E402466" w14:textId="2FE18691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What steps need to be taken in order to implement common first-semester and second-semester course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 xml:space="preserve"> schedules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leading to a wide range of programs within a discipline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 xml:space="preserve"> or meta-major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?  </w:t>
            </w:r>
          </w:p>
        </w:tc>
        <w:tc>
          <w:tcPr>
            <w:tcW w:w="4950" w:type="dxa"/>
          </w:tcPr>
          <w:p w14:paraId="0DC13F10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99D12C4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EA" w:rsidRPr="00F95718" w14:paraId="4B0A5A68" w14:textId="77777777" w:rsidTr="00593AEA">
        <w:tc>
          <w:tcPr>
            <w:tcW w:w="2965" w:type="dxa"/>
          </w:tcPr>
          <w:p w14:paraId="70135C2C" w14:textId="0FFFE79F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 xml:space="preserve">NCII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paper asserts there is a connection</w:t>
            </w:r>
            <w:r w:rsidR="00D20EB3"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 between attainment of </w:t>
            </w:r>
            <w:r w:rsidR="00333C97">
              <w:rPr>
                <w:rFonts w:ascii="Arial" w:eastAsia="Times New Roman" w:hAnsi="Arial" w:cs="Arial"/>
                <w:sz w:val="20"/>
                <w:szCs w:val="20"/>
              </w:rPr>
              <w:t xml:space="preserve">strong </w:t>
            </w:r>
            <w:r w:rsidR="00D20EB3" w:rsidRPr="00F95718">
              <w:rPr>
                <w:rFonts w:ascii="Arial" w:eastAsia="Times New Roman" w:hAnsi="Arial" w:cs="Arial"/>
                <w:sz w:val="20"/>
                <w:szCs w:val="20"/>
              </w:rPr>
              <w:t xml:space="preserve">general education </w:t>
            </w: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and preparation for career changes.  </w:t>
            </w:r>
          </w:p>
          <w:p w14:paraId="31C3F5E0" w14:textId="77777777" w:rsidR="00593AEA" w:rsidRPr="00F95718" w:rsidRDefault="00593A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BC6FD0" w14:textId="2A3EA0A5" w:rsidR="00593AEA" w:rsidRPr="00F95718" w:rsidRDefault="00593AEA" w:rsidP="00C02C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718">
              <w:rPr>
                <w:rFonts w:ascii="Arial" w:eastAsia="Times New Roman" w:hAnsi="Arial" w:cs="Arial"/>
                <w:sz w:val="20"/>
                <w:szCs w:val="20"/>
              </w:rPr>
              <w:t>Describe how the implementation of guided pathways at your institution could strengthen this link.</w:t>
            </w:r>
          </w:p>
        </w:tc>
        <w:tc>
          <w:tcPr>
            <w:tcW w:w="4950" w:type="dxa"/>
          </w:tcPr>
          <w:p w14:paraId="691A4571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FE6F9D0" w14:textId="77777777" w:rsidR="00593AEA" w:rsidRPr="00F95718" w:rsidRDefault="0059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B2A4F" w14:textId="77777777" w:rsidR="003F2795" w:rsidRPr="00F95718" w:rsidRDefault="003F2795">
      <w:pPr>
        <w:rPr>
          <w:rFonts w:ascii="Arial" w:hAnsi="Arial" w:cs="Arial"/>
          <w:sz w:val="20"/>
          <w:szCs w:val="20"/>
        </w:rPr>
      </w:pPr>
    </w:p>
    <w:sectPr w:rsidR="003F2795" w:rsidRPr="00F95718" w:rsidSect="003036A6">
      <w:headerReference w:type="even" r:id="rId11"/>
      <w:headerReference w:type="default" r:id="rId12"/>
      <w:head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y McClenney" w:date="2016-01-22T10:51:00Z" w:initials="KMc">
    <w:p w14:paraId="71E8D4AC" w14:textId="3B04A779" w:rsidR="00333C97" w:rsidRDefault="00333C97">
      <w:pPr>
        <w:pStyle w:val="CommentText"/>
      </w:pPr>
      <w:r>
        <w:rPr>
          <w:rStyle w:val="CommentReference"/>
        </w:rPr>
        <w:annotationRef/>
      </w:r>
      <w:r>
        <w:t>As stated, this is an empirical question for which they will not have data to support an answer.</w:t>
      </w:r>
    </w:p>
  </w:comment>
  <w:comment w:id="2" w:author="Kay McClenney" w:date="2016-01-22T11:00:00Z" w:initials="KMc">
    <w:p w14:paraId="7CC17F60" w14:textId="24983911" w:rsidR="00333C97" w:rsidRDefault="00333C97">
      <w:pPr>
        <w:pStyle w:val="CommentText"/>
      </w:pPr>
      <w:r>
        <w:rPr>
          <w:rStyle w:val="CommentReference"/>
        </w:rPr>
        <w:annotationRef/>
      </w:r>
      <w:r>
        <w:t>This question as currently stated gives them only two response options, and I don’t think those options cover the universe of possibilities….</w:t>
      </w:r>
    </w:p>
  </w:comment>
  <w:comment w:id="3" w:author="Kay McClenney" w:date="2016-01-22T10:58:00Z" w:initials="KMc">
    <w:p w14:paraId="78DB7E4E" w14:textId="0CE93CAA" w:rsidR="00333C97" w:rsidRDefault="00333C97">
      <w:pPr>
        <w:pStyle w:val="CommentText"/>
      </w:pPr>
      <w:r>
        <w:rPr>
          <w:rStyle w:val="CommentReference"/>
        </w:rPr>
        <w:annotationRef/>
      </w:r>
      <w:r>
        <w:t>This is a REALLY big question for this advance work exercise?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8D4AC" w15:done="0"/>
  <w15:commentEx w15:paraId="7CC17F60" w15:done="0"/>
  <w15:commentEx w15:paraId="78DB7E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FB746" w14:textId="77777777" w:rsidR="008E41A9" w:rsidRDefault="008E41A9" w:rsidP="00D20EB3">
      <w:pPr>
        <w:spacing w:after="0" w:line="240" w:lineRule="auto"/>
      </w:pPr>
      <w:r>
        <w:separator/>
      </w:r>
    </w:p>
  </w:endnote>
  <w:endnote w:type="continuationSeparator" w:id="0">
    <w:p w14:paraId="2C1A71E9" w14:textId="77777777" w:rsidR="008E41A9" w:rsidRDefault="008E41A9" w:rsidP="00D2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60E9" w14:textId="77777777" w:rsidR="008E41A9" w:rsidRDefault="008E41A9" w:rsidP="00D20EB3">
      <w:pPr>
        <w:spacing w:after="0" w:line="240" w:lineRule="auto"/>
      </w:pPr>
      <w:r>
        <w:separator/>
      </w:r>
    </w:p>
  </w:footnote>
  <w:footnote w:type="continuationSeparator" w:id="0">
    <w:p w14:paraId="1829A193" w14:textId="77777777" w:rsidR="008E41A9" w:rsidRDefault="008E41A9" w:rsidP="00D2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CE77" w14:textId="39FE6DAC" w:rsidR="00333C97" w:rsidRDefault="00FC77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035F707" wp14:editId="5B17C5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27930" cy="3352165"/>
              <wp:effectExtent l="0" t="638175" r="0" b="39116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27930" cy="33521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94112" w14:textId="77777777" w:rsidR="00FC770A" w:rsidRDefault="00FC770A" w:rsidP="00FC7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5F707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395.9pt;height:263.9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07994112" w14:textId="77777777" w:rsidR="00FC770A" w:rsidRDefault="00FC770A" w:rsidP="00FC77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03C7036" wp14:editId="3D9304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27930" cy="3352165"/>
              <wp:effectExtent l="0" t="638175" r="0" b="3911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27930" cy="33521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F1B9A" w14:textId="77777777" w:rsidR="00FC770A" w:rsidRDefault="00FC770A" w:rsidP="00FC7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C7036" id="WordArt 2" o:spid="_x0000_s1027" type="#_x0000_t202" style="position:absolute;margin-left:0;margin-top:0;width:395.9pt;height:263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00F1B9A" w14:textId="77777777" w:rsidR="00FC770A" w:rsidRDefault="00FC770A" w:rsidP="00FC77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F6522" w14:textId="0E538D60" w:rsidR="00333C97" w:rsidRDefault="00FC77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C24FA28" wp14:editId="69A8DD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27930" cy="3352165"/>
              <wp:effectExtent l="0" t="638175" r="0" b="39116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27930" cy="33521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858F3" w14:textId="77777777" w:rsidR="00FC770A" w:rsidRDefault="00FC770A" w:rsidP="00FC7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4FA28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position:absolute;margin-left:0;margin-top:0;width:395.9pt;height:263.9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429858F3" w14:textId="77777777" w:rsidR="00FC770A" w:rsidRDefault="00FC770A" w:rsidP="00FC77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 w:rsidR="00333C97">
      <w:ptab w:relativeTo="margin" w:alignment="center" w:leader="none"/>
    </w:r>
    <w:r w:rsidR="00333C97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0FF6" w14:textId="5DD016CF" w:rsidR="00333C97" w:rsidRDefault="00333C97">
    <w:pPr>
      <w:pStyle w:val="Header"/>
    </w:pPr>
    <w:r w:rsidRPr="009E0F54">
      <w:rPr>
        <w:rFonts w:ascii="Arial" w:hAnsi="Arial" w:cs="Arial"/>
        <w:noProof/>
      </w:rPr>
      <w:drawing>
        <wp:inline distT="0" distB="0" distL="0" distR="0" wp14:anchorId="413F2144" wp14:editId="789F2990">
          <wp:extent cx="1573530" cy="708660"/>
          <wp:effectExtent l="0" t="0" r="7620" b="0"/>
          <wp:docPr id="1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36" cy="709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50F85"/>
    <w:multiLevelType w:val="multilevel"/>
    <w:tmpl w:val="3D7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9"/>
    <w:rsid w:val="00050C55"/>
    <w:rsid w:val="000C3C8B"/>
    <w:rsid w:val="001D435B"/>
    <w:rsid w:val="001E3FD7"/>
    <w:rsid w:val="00256091"/>
    <w:rsid w:val="002A137C"/>
    <w:rsid w:val="002C4C79"/>
    <w:rsid w:val="003036A6"/>
    <w:rsid w:val="00327669"/>
    <w:rsid w:val="00333C97"/>
    <w:rsid w:val="003F2795"/>
    <w:rsid w:val="005209D6"/>
    <w:rsid w:val="00593AEA"/>
    <w:rsid w:val="00702FFA"/>
    <w:rsid w:val="007132BE"/>
    <w:rsid w:val="00722539"/>
    <w:rsid w:val="00747CAD"/>
    <w:rsid w:val="007B7FC3"/>
    <w:rsid w:val="00832DC2"/>
    <w:rsid w:val="008E41A9"/>
    <w:rsid w:val="008F0D19"/>
    <w:rsid w:val="00930115"/>
    <w:rsid w:val="009C66DD"/>
    <w:rsid w:val="009D17EE"/>
    <w:rsid w:val="00B610CC"/>
    <w:rsid w:val="00B66FDD"/>
    <w:rsid w:val="00C02CDA"/>
    <w:rsid w:val="00C91D4C"/>
    <w:rsid w:val="00CF72C1"/>
    <w:rsid w:val="00D20EB3"/>
    <w:rsid w:val="00E67FF0"/>
    <w:rsid w:val="00F11E45"/>
    <w:rsid w:val="00F95718"/>
    <w:rsid w:val="00FC770A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F0702"/>
  <w15:docId w15:val="{310BAB87-7B3F-4739-8EC2-1C654B8E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E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B3"/>
  </w:style>
  <w:style w:type="paragraph" w:styleId="Footer">
    <w:name w:val="footer"/>
    <w:basedOn w:val="Normal"/>
    <w:link w:val="FooterChar"/>
    <w:uiPriority w:val="99"/>
    <w:unhideWhenUsed/>
    <w:rsid w:val="00D2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B3"/>
  </w:style>
  <w:style w:type="paragraph" w:styleId="BalloonText">
    <w:name w:val="Balloon Text"/>
    <w:basedOn w:val="Normal"/>
    <w:link w:val="BalloonTextChar"/>
    <w:uiPriority w:val="99"/>
    <w:semiHidden/>
    <w:unhideWhenUsed/>
    <w:rsid w:val="007B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C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C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C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77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quiry2improvement.com/attachments/article/12/PWs-Demystified-Johnstone-110315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7EE0-9DB7-43D6-B5C4-04C74ADB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Schmidt</dc:creator>
  <cp:keywords/>
  <dc:description/>
  <cp:lastModifiedBy>gretchen Schmidt</cp:lastModifiedBy>
  <cp:revision>3</cp:revision>
  <dcterms:created xsi:type="dcterms:W3CDTF">2016-01-25T21:04:00Z</dcterms:created>
  <dcterms:modified xsi:type="dcterms:W3CDTF">2016-01-25T21:17:00Z</dcterms:modified>
</cp:coreProperties>
</file>